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9A" w:rsidRDefault="00575B9A" w:rsidP="00575B9A">
      <w:pPr>
        <w:ind w:firstLine="0"/>
        <w:jc w:val="left"/>
      </w:pPr>
    </w:p>
    <w:p w:rsidR="000818AA" w:rsidRDefault="000818AA" w:rsidP="00057A9A">
      <w:pPr>
        <w:ind w:firstLine="0"/>
        <w:jc w:val="center"/>
      </w:pPr>
    </w:p>
    <w:p w:rsidR="000818AA" w:rsidRDefault="000818AA" w:rsidP="00057A9A">
      <w:pPr>
        <w:ind w:firstLine="0"/>
        <w:jc w:val="center"/>
      </w:pPr>
    </w:p>
    <w:p w:rsidR="00057A9A" w:rsidRDefault="00CC7560" w:rsidP="00057A9A">
      <w:pPr>
        <w:ind w:firstLine="0"/>
        <w:jc w:val="center"/>
      </w:pPr>
      <w:r>
        <w:t xml:space="preserve">Ku ustawie z </w:t>
      </w:r>
      <w:r w:rsidR="00C55204">
        <w:t>17</w:t>
      </w:r>
      <w:r w:rsidR="00057A9A">
        <w:t xml:space="preserve"> maja 1989 r. </w:t>
      </w:r>
    </w:p>
    <w:p w:rsidR="00286381" w:rsidRDefault="00057A9A" w:rsidP="00057A9A">
      <w:pPr>
        <w:ind w:firstLine="0"/>
        <w:jc w:val="center"/>
      </w:pPr>
      <w:r>
        <w:t xml:space="preserve">Ewolucja </w:t>
      </w:r>
      <w:r w:rsidR="00501827">
        <w:t xml:space="preserve">postaw </w:t>
      </w:r>
      <w:r>
        <w:t xml:space="preserve">władzy wobec </w:t>
      </w:r>
      <w:r w:rsidR="005C1795">
        <w:t xml:space="preserve">Kościoła i </w:t>
      </w:r>
      <w:r>
        <w:t xml:space="preserve">idei wolności sumienia i wyznania w Polsce. </w:t>
      </w:r>
    </w:p>
    <w:p w:rsidR="00A35853" w:rsidRDefault="00286381" w:rsidP="00057A9A">
      <w:pPr>
        <w:ind w:firstLine="0"/>
        <w:jc w:val="center"/>
      </w:pPr>
      <w:r>
        <w:t xml:space="preserve">To the </w:t>
      </w:r>
      <w:proofErr w:type="spellStart"/>
      <w:r>
        <w:t>act</w:t>
      </w:r>
      <w:proofErr w:type="spellEnd"/>
      <w:r>
        <w:t xml:space="preserve"> </w:t>
      </w:r>
      <w:r w:rsidR="006C6DCE">
        <w:t xml:space="preserve">of the </w:t>
      </w:r>
      <w:r w:rsidR="005646DD">
        <w:t>17</w:t>
      </w:r>
      <w:r>
        <w:t xml:space="preserve"> of </w:t>
      </w:r>
      <w:proofErr w:type="spellStart"/>
      <w:r>
        <w:t>may</w:t>
      </w:r>
      <w:proofErr w:type="spellEnd"/>
      <w:r>
        <w:t xml:space="preserve"> 1989</w:t>
      </w:r>
      <w:r w:rsidR="00A35853">
        <w:t>.</w:t>
      </w:r>
    </w:p>
    <w:p w:rsidR="00CC7560" w:rsidRDefault="00A35853" w:rsidP="00057A9A">
      <w:pPr>
        <w:ind w:firstLine="0"/>
        <w:jc w:val="center"/>
      </w:pPr>
      <w:proofErr w:type="spellStart"/>
      <w:r>
        <w:t>E</w:t>
      </w:r>
      <w:r w:rsidR="00E579CB">
        <w:t>v</w:t>
      </w:r>
      <w:r>
        <w:t>olusion</w:t>
      </w:r>
      <w:proofErr w:type="spellEnd"/>
      <w:r>
        <w:t xml:space="preserve"> of the </w:t>
      </w:r>
      <w:proofErr w:type="spellStart"/>
      <w:r w:rsidR="00E173F2">
        <w:t>authority’s</w:t>
      </w:r>
      <w:proofErr w:type="spellEnd"/>
      <w:r w:rsidR="00E173F2">
        <w:t xml:space="preserve"> </w:t>
      </w:r>
      <w:proofErr w:type="spellStart"/>
      <w:r w:rsidR="00E173F2">
        <w:t>attitude</w:t>
      </w:r>
      <w:proofErr w:type="spellEnd"/>
      <w:r w:rsidR="00E173F2">
        <w:t xml:space="preserve"> </w:t>
      </w:r>
      <w:r w:rsidR="00057A9A">
        <w:t xml:space="preserve"> </w:t>
      </w:r>
      <w:proofErr w:type="spellStart"/>
      <w:r w:rsidR="00D2304A">
        <w:t>towards</w:t>
      </w:r>
      <w:proofErr w:type="spellEnd"/>
      <w:r w:rsidR="00D2304A">
        <w:t xml:space="preserve"> the Church and the idea of </w:t>
      </w:r>
      <w:proofErr w:type="spellStart"/>
      <w:r w:rsidR="00D2304A">
        <w:t>conscience</w:t>
      </w:r>
      <w:proofErr w:type="spellEnd"/>
      <w:r w:rsidR="00D2304A">
        <w:t xml:space="preserve"> and </w:t>
      </w:r>
      <w:proofErr w:type="spellStart"/>
      <w:r w:rsidR="00E173F2">
        <w:t>belief</w:t>
      </w:r>
      <w:proofErr w:type="spellEnd"/>
      <w:r w:rsidR="00D2304A">
        <w:t xml:space="preserve"> </w:t>
      </w:r>
      <w:proofErr w:type="spellStart"/>
      <w:r w:rsidR="00D2304A">
        <w:t>freedom</w:t>
      </w:r>
      <w:proofErr w:type="spellEnd"/>
      <w:r>
        <w:t xml:space="preserve"> in Poland. </w:t>
      </w:r>
    </w:p>
    <w:p w:rsidR="00A35853" w:rsidRDefault="00A35853" w:rsidP="00057A9A">
      <w:pPr>
        <w:ind w:firstLine="0"/>
        <w:jc w:val="center"/>
      </w:pPr>
    </w:p>
    <w:p w:rsidR="00A35853" w:rsidRDefault="00A35853" w:rsidP="00057A9A">
      <w:pPr>
        <w:ind w:firstLine="0"/>
        <w:jc w:val="center"/>
      </w:pPr>
    </w:p>
    <w:p w:rsidR="00A35853" w:rsidRDefault="00A35853" w:rsidP="00057A9A">
      <w:pPr>
        <w:ind w:firstLine="0"/>
        <w:jc w:val="center"/>
      </w:pPr>
      <w:r>
        <w:t xml:space="preserve">Słowa klucze: wolność sumienia i wyznania, </w:t>
      </w:r>
      <w:r w:rsidR="00575B9A">
        <w:t xml:space="preserve">prawa człowieka, </w:t>
      </w:r>
      <w:r>
        <w:t>Polska Rzeczpospolita Ludowa, ustawa, socjalizm</w:t>
      </w:r>
    </w:p>
    <w:p w:rsidR="00A35853" w:rsidRDefault="00A35853" w:rsidP="00057A9A">
      <w:pPr>
        <w:ind w:firstLine="0"/>
        <w:jc w:val="center"/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proofErr w:type="spellStart"/>
      <w:r w:rsidR="00E173F2">
        <w:t>conscience</w:t>
      </w:r>
      <w:proofErr w:type="spellEnd"/>
      <w:r w:rsidR="00E173F2">
        <w:t xml:space="preserve"> and </w:t>
      </w:r>
      <w:proofErr w:type="spellStart"/>
      <w:r w:rsidR="00E173F2">
        <w:t>belief</w:t>
      </w:r>
      <w:proofErr w:type="spellEnd"/>
      <w:r w:rsidR="00E173F2">
        <w:t xml:space="preserve"> </w:t>
      </w:r>
      <w:proofErr w:type="spellStart"/>
      <w:r w:rsidR="00E173F2">
        <w:t>freedom</w:t>
      </w:r>
      <w:proofErr w:type="spellEnd"/>
      <w:r>
        <w:t xml:space="preserve">, </w:t>
      </w:r>
      <w:proofErr w:type="spellStart"/>
      <w:r w:rsidR="00575B9A">
        <w:t>human</w:t>
      </w:r>
      <w:proofErr w:type="spellEnd"/>
      <w:r w:rsidR="00575B9A">
        <w:t xml:space="preserve"> </w:t>
      </w:r>
      <w:proofErr w:type="spellStart"/>
      <w:r w:rsidR="00575B9A">
        <w:t>rights</w:t>
      </w:r>
      <w:proofErr w:type="spellEnd"/>
      <w:r w:rsidR="00575B9A">
        <w:t xml:space="preserve">, </w:t>
      </w:r>
      <w:r w:rsidRPr="00A35853">
        <w:t xml:space="preserve">the </w:t>
      </w:r>
      <w:proofErr w:type="spellStart"/>
      <w:r w:rsidRPr="00A35853">
        <w:t>Polish</w:t>
      </w:r>
      <w:proofErr w:type="spellEnd"/>
      <w:r w:rsidRPr="00A35853">
        <w:t xml:space="preserve"> </w:t>
      </w:r>
      <w:proofErr w:type="spellStart"/>
      <w:r w:rsidRPr="00A35853">
        <w:t>People’s</w:t>
      </w:r>
      <w:proofErr w:type="spellEnd"/>
      <w:r w:rsidRPr="00A35853">
        <w:t xml:space="preserve"> Republic</w:t>
      </w:r>
      <w:r>
        <w:t xml:space="preserve">, </w:t>
      </w:r>
      <w:proofErr w:type="spellStart"/>
      <w:r>
        <w:t>act</w:t>
      </w:r>
      <w:proofErr w:type="spellEnd"/>
      <w:r>
        <w:t xml:space="preserve">, </w:t>
      </w:r>
      <w:proofErr w:type="spellStart"/>
      <w:r>
        <w:t>socialism</w:t>
      </w:r>
      <w:proofErr w:type="spellEnd"/>
      <w:r>
        <w:t xml:space="preserve"> </w:t>
      </w:r>
    </w:p>
    <w:p w:rsidR="00CE5895" w:rsidRPr="00B55632" w:rsidRDefault="00CE5895" w:rsidP="009C492F">
      <w:pPr>
        <w:jc w:val="center"/>
      </w:pPr>
    </w:p>
    <w:p w:rsidR="009C492F" w:rsidRDefault="009C492F" w:rsidP="001D5B5E"/>
    <w:p w:rsidR="009C492F" w:rsidRDefault="009C492F" w:rsidP="001D5B5E"/>
    <w:p w:rsidR="001D5B5E" w:rsidRDefault="001D5B5E" w:rsidP="001D5B5E"/>
    <w:p w:rsidR="001D5B5E" w:rsidRDefault="001D5B5E" w:rsidP="001D5B5E">
      <w:r>
        <w:t xml:space="preserve">Wszelka rzeczywistość: społeczna, polityczna, czy gospodarcza posiada swoje </w:t>
      </w:r>
      <w:r w:rsidR="00E579CB">
        <w:t>umocowanie</w:t>
      </w:r>
      <w:r w:rsidR="00F90CC0">
        <w:t xml:space="preserve"> prawne i jest kreowana lub chociażby regulowana przez procesy legislacyjne. Niezwykle interesującym, a zarazem wrażliwym elementem owej rzeczywistością jest sfera </w:t>
      </w:r>
      <w:r w:rsidR="00E579CB">
        <w:t>gwarancji</w:t>
      </w:r>
      <w:r w:rsidR="00F124B4">
        <w:t xml:space="preserve"> </w:t>
      </w:r>
      <w:r w:rsidR="00F124B4" w:rsidRPr="004E6953">
        <w:t>d</w:t>
      </w:r>
      <w:r w:rsidR="00057A9A" w:rsidRPr="004E6953">
        <w:t>la</w:t>
      </w:r>
      <w:r w:rsidR="00F124B4" w:rsidRPr="004E6953">
        <w:t xml:space="preserve"> </w:t>
      </w:r>
      <w:r w:rsidR="00F90CC0" w:rsidRPr="004E6953">
        <w:t>wartości duchowych.</w:t>
      </w:r>
      <w:r w:rsidR="00226C92" w:rsidRPr="004E6953">
        <w:rPr>
          <w:rStyle w:val="Odwoanieprzypisudolnego"/>
        </w:rPr>
        <w:footnoteReference w:id="1"/>
      </w:r>
      <w:r w:rsidR="00F90CC0">
        <w:t xml:space="preserve"> </w:t>
      </w:r>
      <w:r w:rsidR="00E579CB">
        <w:t>M</w:t>
      </w:r>
      <w:r w:rsidR="001D6F3E">
        <w:t>ierzy</w:t>
      </w:r>
      <w:r w:rsidR="00E579CB">
        <w:t xml:space="preserve"> się z nimi</w:t>
      </w:r>
      <w:r w:rsidR="001D6F3E">
        <w:t xml:space="preserve"> każdy regulator, każde państwo- bez względu na panujący w nim ustrój polityczny. </w:t>
      </w:r>
      <w:r w:rsidR="00342E1E">
        <w:t xml:space="preserve">Odrębnym zagadnieniem jest oczywiście przestrzeganie </w:t>
      </w:r>
      <w:r w:rsidR="006554E4">
        <w:t xml:space="preserve">deklarowanych praw. </w:t>
      </w:r>
      <w:bookmarkStart w:id="1" w:name="_Hlk128428119"/>
    </w:p>
    <w:bookmarkEnd w:id="1"/>
    <w:p w:rsidR="008A6280" w:rsidRPr="00673B73" w:rsidRDefault="008A6280" w:rsidP="008A6280">
      <w:pPr>
        <w:rPr>
          <w:highlight w:val="yellow"/>
        </w:rPr>
      </w:pPr>
      <w:r>
        <w:t xml:space="preserve">W niniejszym artykule podjęto próbę analizy uwarunkowań, które kształtowały stosunek państwa socjalistycznego do sfery wiary i religii oraz ochrony wolności sumienia w polskim (socjalistycznym) porządku prawnym. Przyjęto, że proces normalizacji został zakończony uchwaleniem ustawy z </w:t>
      </w:r>
      <w:r w:rsidR="005646DD">
        <w:t>17</w:t>
      </w:r>
      <w:r>
        <w:t xml:space="preserve">  maja 1989 r., która była próbą dostosowania litery prawa do potrzeb </w:t>
      </w:r>
      <w:r w:rsidRPr="00BB16AD">
        <w:t>społecznych i</w:t>
      </w:r>
      <w:r w:rsidR="00226C92" w:rsidRPr="00BB16AD">
        <w:t xml:space="preserve"> międzynarodowego ustawodawstwa praw człowieka. </w:t>
      </w:r>
      <w:r w:rsidRPr="00BB16AD">
        <w:t xml:space="preserve"> </w:t>
      </w:r>
      <w:r w:rsidR="00226C92" w:rsidRPr="00BB16AD">
        <w:t xml:space="preserve">W opracowaniu wytypowano </w:t>
      </w:r>
      <w:r w:rsidR="00BB16AD" w:rsidRPr="00BB16AD">
        <w:t xml:space="preserve">procesy i mechanizmy, które wpłynęły na ewolucję prawnych gwarancji dla wolności sumienia i wyznania. </w:t>
      </w:r>
    </w:p>
    <w:p w:rsidR="00C60F2A" w:rsidRDefault="008A6280" w:rsidP="00C60F2A">
      <w:r>
        <w:lastRenderedPageBreak/>
        <w:t xml:space="preserve">Materiał porównawczy stanowiło prawodawstwo konstytucyjne II RP i PRL, oraz inne ustawy i dekrety władzy socjalistycznej. Wprowadzeniem do tematyki są rozważania z europejsko-atlantyckiej perspektywy historycznej. </w:t>
      </w:r>
      <w:bookmarkStart w:id="2" w:name="_Hlk128511864"/>
      <w:r>
        <w:t xml:space="preserve">Wytypowano również przesłanki, które przyczyniły się do opracowania owej ustawy. </w:t>
      </w:r>
      <w:r w:rsidR="00FD72F8">
        <w:t>B</w:t>
      </w:r>
      <w:r>
        <w:t xml:space="preserve">yły to: dokumenty prawa międzynarodowego, a także dynamika społeczno-polityczna, </w:t>
      </w:r>
      <w:r w:rsidR="00E579CB">
        <w:t xml:space="preserve">w tym uwarunkowania zewnętrzne, </w:t>
      </w:r>
      <w:r>
        <w:t>któr</w:t>
      </w:r>
      <w:r w:rsidR="00E579CB">
        <w:t>e</w:t>
      </w:r>
      <w:r>
        <w:t xml:space="preserve"> </w:t>
      </w:r>
      <w:r w:rsidR="00E579CB">
        <w:t xml:space="preserve">wpływały na </w:t>
      </w:r>
      <w:r>
        <w:t>decy</w:t>
      </w:r>
      <w:r w:rsidR="00E579CB">
        <w:t>zje</w:t>
      </w:r>
      <w:r>
        <w:t xml:space="preserve"> władz PRL. Szczególne znaczenia wypada </w:t>
      </w:r>
      <w:r w:rsidR="00E579CB">
        <w:t xml:space="preserve">tu </w:t>
      </w:r>
      <w:r>
        <w:t>przyznać relacjom polsko-watykańskim, w tym bezprecedensowy</w:t>
      </w:r>
      <w:r w:rsidR="00FD72F8">
        <w:t>m</w:t>
      </w:r>
      <w:r>
        <w:t xml:space="preserve"> relacj</w:t>
      </w:r>
      <w:r w:rsidR="00FD72F8">
        <w:t>om</w:t>
      </w:r>
      <w:r>
        <w:t xml:space="preserve"> po wyborze kard. Karola Wojtyły na głowę Kościoła </w:t>
      </w:r>
      <w:r w:rsidR="00FD72F8">
        <w:t>r</w:t>
      </w:r>
      <w:r>
        <w:t>zymsko</w:t>
      </w:r>
      <w:r w:rsidR="00FD72F8">
        <w:t>-k</w:t>
      </w:r>
      <w:r>
        <w:t>atolickiego. Jak już wspomniano</w:t>
      </w:r>
      <w:r w:rsidR="00307001">
        <w:t>,</w:t>
      </w:r>
      <w:r>
        <w:t xml:space="preserve"> skoncentrowano się na uregulowaniach, które bezpośrednio odnosiły się do sfery wolności sumienia, natomiast w rozważaniach oparto się również na materiale, który wyjaśnia relacje państwo-</w:t>
      </w:r>
      <w:r w:rsidR="00307001">
        <w:t>K</w:t>
      </w:r>
      <w:r>
        <w:t>ościół (katolicki). Takie podejście gwarant</w:t>
      </w:r>
      <w:r w:rsidR="00307001">
        <w:t>uje</w:t>
      </w:r>
      <w:r>
        <w:t xml:space="preserve"> bowiem poszerzenie kontekstu i </w:t>
      </w:r>
      <w:r w:rsidR="00FD72F8">
        <w:t>tłumaczy</w:t>
      </w:r>
      <w:r>
        <w:t xml:space="preserve"> specyfi</w:t>
      </w:r>
      <w:r w:rsidR="00FD72F8">
        <w:t>kę</w:t>
      </w:r>
      <w:r>
        <w:t xml:space="preserve"> relacji podczas prac na kształtem ustawy z </w:t>
      </w:r>
      <w:r w:rsidR="00257D9F">
        <w:t>17</w:t>
      </w:r>
      <w:r>
        <w:t xml:space="preserve"> maja 1989 r.</w:t>
      </w:r>
    </w:p>
    <w:p w:rsidR="00F124B4" w:rsidRDefault="004E6953" w:rsidP="00307001">
      <w:bookmarkStart w:id="3" w:name="_Hlk128511827"/>
      <w:bookmarkEnd w:id="2"/>
      <w:r w:rsidRPr="004E6953">
        <w:t xml:space="preserve">W literaturze rozpoznaje się sumienie jako wartość wywodzącą </w:t>
      </w:r>
      <w:r w:rsidR="00FD72F8">
        <w:t>się</w:t>
      </w:r>
      <w:r w:rsidRPr="004E6953">
        <w:t xml:space="preserve"> z religii chrześcijańskich, ale funkcjonującą już poza owym chrześcijańskim kontekstem. Można wymienić tu rozumienie filozoficzne, antropologiczne, psychologiczne.</w:t>
      </w:r>
      <w:r>
        <w:rPr>
          <w:rStyle w:val="Odwoanieprzypisudolnego"/>
        </w:rPr>
        <w:footnoteReference w:id="2"/>
      </w:r>
      <w:r w:rsidR="00307001">
        <w:t xml:space="preserve"> </w:t>
      </w:r>
      <w:r w:rsidR="006554E4">
        <w:t>K. Orzeszyna znajduje wolność</w:t>
      </w:r>
      <w:r w:rsidR="00F124B4">
        <w:t xml:space="preserve"> sumienia </w:t>
      </w:r>
      <w:r w:rsidR="006554E4">
        <w:t xml:space="preserve">„w epicentrum </w:t>
      </w:r>
      <w:r w:rsidR="00F124B4">
        <w:t>wszystkich praw człowieka</w:t>
      </w:r>
      <w:r w:rsidR="006554E4">
        <w:t xml:space="preserve">”. Samo zjawisko jest dla niego istotą „godności osoby ludzkiej i wolności jednostki”. </w:t>
      </w:r>
      <w:r w:rsidR="00602478">
        <w:t>Uważa też, iż</w:t>
      </w:r>
      <w:r w:rsidR="00F124B4">
        <w:t xml:space="preserve">, </w:t>
      </w:r>
      <w:r w:rsidR="00602478">
        <w:t>„s</w:t>
      </w:r>
      <w:r w:rsidR="00F124B4">
        <w:t>kuteczne poszanowanie wolności sumienia jest miarą rzeczywistej praworządności państwa, zabezpieczenia przed praktykami właściwymi dla państwa totalitarnego</w:t>
      </w:r>
      <w:r w:rsidR="00307001">
        <w:t>”</w:t>
      </w:r>
      <w:r w:rsidR="00F124B4">
        <w:t>.</w:t>
      </w:r>
      <w:r w:rsidR="00F124B4">
        <w:rPr>
          <w:rStyle w:val="Odwoanieprzypisudolnego"/>
        </w:rPr>
        <w:footnoteReference w:id="3"/>
      </w:r>
      <w:r w:rsidR="00071EDC">
        <w:t xml:space="preserve"> </w:t>
      </w:r>
      <w:r w:rsidR="00071EDC" w:rsidRPr="00071EDC">
        <w:t>Wolności sumienia i wyznania należą do osobistych praw podstawowych człowieka.  Pozostają przy tym pod wpływem poszczególnych generacji praw człowieka, prawa europejskiego i międzynarodowego, oraz wyroków sądów i trybunałów konstytucyjnych.   Wolność sumienia jest tożsam</w:t>
      </w:r>
      <w:r w:rsidR="00307001">
        <w:t>a</w:t>
      </w:r>
      <w:r w:rsidR="00071EDC" w:rsidRPr="00071EDC">
        <w:t xml:space="preserve"> z  wolnością myśli i przekonań. Prawa te są gwarantowane przez państwa.</w:t>
      </w:r>
      <w:r w:rsidR="00071EDC">
        <w:rPr>
          <w:rStyle w:val="Odwoanieprzypisudolnego"/>
        </w:rPr>
        <w:footnoteReference w:id="4"/>
      </w:r>
    </w:p>
    <w:bookmarkEnd w:id="3"/>
    <w:p w:rsidR="00F0612C" w:rsidRDefault="00544675" w:rsidP="00F0612C">
      <w:r>
        <w:t>W kontekście historycznym</w:t>
      </w:r>
      <w:r w:rsidR="001D6F3E">
        <w:t xml:space="preserve"> sfera duchowa była łączona z wyznawaną religią i to gwarancje dla poszczególnych religii są podstawą współczesnego kanon</w:t>
      </w:r>
      <w:r w:rsidR="00B442EE">
        <w:t>u gwarancji sumienia i wyznania w rozumieniu funkcjonalnym.</w:t>
      </w:r>
      <w:r w:rsidR="001D6F3E">
        <w:t xml:space="preserve"> Zauważamy przy tym, iż </w:t>
      </w:r>
      <w:r w:rsidR="001F5072">
        <w:t xml:space="preserve">owe </w:t>
      </w:r>
      <w:r w:rsidR="001D6F3E">
        <w:t>gwarancje dotyczące wyznania kierują punkt ciężkość odpowiednich regulacji prawnych ku prawom gwarantowanym instytucjom- depozyt</w:t>
      </w:r>
      <w:r w:rsidR="00307001">
        <w:t>ariuszom</w:t>
      </w:r>
      <w:r w:rsidR="001D6F3E">
        <w:t xml:space="preserve"> religii. Natomiast wolność sumienia ciąż</w:t>
      </w:r>
      <w:r w:rsidR="00B442EE">
        <w:t>y</w:t>
      </w:r>
      <w:r w:rsidR="001D6F3E">
        <w:t xml:space="preserve"> ku </w:t>
      </w:r>
      <w:r w:rsidR="001D6F3E">
        <w:lastRenderedPageBreak/>
        <w:t>wartościom i prawom osobistym, związanym ze sferą moralności czy etyki.</w:t>
      </w:r>
      <w:r w:rsidR="00B442EE">
        <w:rPr>
          <w:rStyle w:val="Odwoanieprzypisudolnego"/>
        </w:rPr>
        <w:footnoteReference w:id="5"/>
      </w:r>
      <w:r w:rsidR="001D6F3E">
        <w:t xml:space="preserve"> Inklinacje z deklarowaną religią lub światopoglądem ateistycznym są wtórne i dają pierwszeństwo jednostce. Tym samym </w:t>
      </w:r>
      <w:r w:rsidR="0049473E">
        <w:t>zapisy dotyczące gwarancji wolności sumienia i wyznania odnoszą się do praw jednostki</w:t>
      </w:r>
      <w:r w:rsidR="004E6953">
        <w:t>, a potem</w:t>
      </w:r>
      <w:r w:rsidR="0049473E">
        <w:t xml:space="preserve"> praw zbiorowych kościołów i związków wyznaniowych. </w:t>
      </w:r>
      <w:r w:rsidR="00871202" w:rsidRPr="00C60F2A">
        <w:t>W perspektywie historyczno-cywilizacyjnej, rozumianej jako historia doktryny prawn</w:t>
      </w:r>
      <w:r w:rsidR="004E6953">
        <w:t xml:space="preserve">ej  i </w:t>
      </w:r>
      <w:r w:rsidR="00871202" w:rsidRPr="00C60F2A">
        <w:t>wyzna</w:t>
      </w:r>
      <w:r w:rsidR="00B7056D" w:rsidRPr="00C60F2A">
        <w:t>niowej z kręgu kultury grecko-rzymskiej</w:t>
      </w:r>
      <w:r w:rsidR="00871202" w:rsidRPr="00C60F2A">
        <w:t xml:space="preserve"> i </w:t>
      </w:r>
      <w:proofErr w:type="spellStart"/>
      <w:r w:rsidR="00871202" w:rsidRPr="00C60F2A">
        <w:t>judeo</w:t>
      </w:r>
      <w:proofErr w:type="spellEnd"/>
      <w:r w:rsidR="00871202" w:rsidRPr="00C60F2A">
        <w:t xml:space="preserve">-chrześcijańskiej, prawo </w:t>
      </w:r>
      <w:r w:rsidR="004E6953">
        <w:t>umacniało</w:t>
      </w:r>
      <w:r w:rsidR="00871202" w:rsidRPr="00C60F2A">
        <w:t xml:space="preserve"> religi</w:t>
      </w:r>
      <w:r w:rsidR="004E6953">
        <w:t>e</w:t>
      </w:r>
      <w:r w:rsidR="00871202" w:rsidRPr="00C60F2A">
        <w:t xml:space="preserve"> państwow</w:t>
      </w:r>
      <w:r w:rsidR="004E6953">
        <w:t>e</w:t>
      </w:r>
      <w:r w:rsidR="00871202" w:rsidRPr="00C60F2A">
        <w:t xml:space="preserve">. Zarówno w pogańskim Rzymie, w judaizmie, czy Europie chrześcijańskiej przed </w:t>
      </w:r>
      <w:r w:rsidR="00B7056D" w:rsidRPr="00C60F2A">
        <w:t xml:space="preserve">okresem reformacji oba zjawiska </w:t>
      </w:r>
      <w:proofErr w:type="spellStart"/>
      <w:r w:rsidR="00B7056D" w:rsidRPr="00C60F2A">
        <w:t>współtrwały</w:t>
      </w:r>
      <w:proofErr w:type="spellEnd"/>
      <w:r w:rsidR="00B7056D" w:rsidRPr="00C60F2A">
        <w:t xml:space="preserve"> wzmacniając i uwierzytelniając siebie nawzajem. Do dramatycznych konfrontacji dochodziło</w:t>
      </w:r>
      <w:r w:rsidR="00307001">
        <w:t xml:space="preserve"> </w:t>
      </w:r>
      <w:r w:rsidR="00B7056D" w:rsidRPr="00C60F2A">
        <w:t xml:space="preserve">podczas przesileń religijnych. </w:t>
      </w:r>
      <w:r w:rsidR="00843908" w:rsidRPr="00C60F2A">
        <w:t>Doprowadzały one</w:t>
      </w:r>
      <w:r w:rsidR="00B7056D" w:rsidRPr="00C60F2A">
        <w:t xml:space="preserve"> do brutalnych prześladowań, które były konsekwencją odmawiania praw dla wyznawców i religii ideowo skonfliktowanych z religią-władzą. Niech przykładem będą tu chociażby prześladowania i twardy kurs obrany przez władzę Greków w Izraelu i bunt machabejski.</w:t>
      </w:r>
      <w:r w:rsidR="00B7056D" w:rsidRPr="00C60F2A">
        <w:rPr>
          <w:rStyle w:val="Odwoanieprzypisudolnego"/>
        </w:rPr>
        <w:footnoteReference w:id="6"/>
      </w:r>
      <w:r w:rsidR="00B7056D" w:rsidRPr="00C60F2A">
        <w:t xml:space="preserve"> Z podobną sytuacją mamy do czynienia </w:t>
      </w:r>
      <w:r w:rsidR="00871202" w:rsidRPr="00C60F2A">
        <w:t xml:space="preserve"> </w:t>
      </w:r>
      <w:r w:rsidR="00B7056D" w:rsidRPr="00C60F2A">
        <w:t>w Cesarstwie Rzymskim</w:t>
      </w:r>
      <w:r w:rsidR="0049473E" w:rsidRPr="00C60F2A">
        <w:t>.</w:t>
      </w:r>
      <w:r w:rsidR="00987FED" w:rsidRPr="00C60F2A">
        <w:t xml:space="preserve"> </w:t>
      </w:r>
      <w:r w:rsidR="00B7056D" w:rsidRPr="00C60F2A">
        <w:t>Chrześ</w:t>
      </w:r>
      <w:r w:rsidR="00A152DD" w:rsidRPr="00C60F2A">
        <w:t>cijaństwo (podobnie jak judaizm) ze swoją ideą konfrontacji wobec usankcjonowanej politeistycznie władzy musiało zostać przez nią zniesione lub musiało ją przezwyciężyć.</w:t>
      </w:r>
      <w:r w:rsidR="00A152DD" w:rsidRPr="00C60F2A">
        <w:rPr>
          <w:rStyle w:val="Odwoanieprzypisudolnego"/>
        </w:rPr>
        <w:footnoteReference w:id="7"/>
      </w:r>
      <w:r w:rsidR="00A152DD" w:rsidRPr="00C60F2A">
        <w:t xml:space="preserve"> </w:t>
      </w:r>
      <w:r w:rsidR="004E6953">
        <w:t xml:space="preserve">Prawo </w:t>
      </w:r>
      <w:r w:rsidR="00BB3CB2" w:rsidRPr="00C60F2A">
        <w:t>określ</w:t>
      </w:r>
      <w:r w:rsidR="004E6953">
        <w:t>ało</w:t>
      </w:r>
      <w:r w:rsidR="00BB3CB2" w:rsidRPr="00C60F2A">
        <w:t xml:space="preserve"> granice owych gwarancji</w:t>
      </w:r>
      <w:r w:rsidR="004E6953">
        <w:t xml:space="preserve"> wolności</w:t>
      </w:r>
      <w:r w:rsidR="00BB3CB2" w:rsidRPr="00C60F2A">
        <w:t xml:space="preserve"> </w:t>
      </w:r>
      <w:r w:rsidR="004E6953">
        <w:t>i</w:t>
      </w:r>
      <w:r w:rsidR="00BB3CB2" w:rsidRPr="00C60F2A">
        <w:t xml:space="preserve"> były nimi: bezpieczeństwo i stabilność państwa</w:t>
      </w:r>
      <w:r w:rsidR="00A152DD">
        <w:t xml:space="preserve">. Pierwszym krokiem </w:t>
      </w:r>
      <w:r w:rsidR="00307001">
        <w:t xml:space="preserve">do uprawnienia </w:t>
      </w:r>
      <w:r w:rsidR="00A152DD">
        <w:t>po okresie prześladowań były edykty tolerancyjne rozumiane jako odejście od prześladowań</w:t>
      </w:r>
      <w:r w:rsidR="003F66EC">
        <w:t xml:space="preserve"> i miały charakter tolerancji negatywnej.</w:t>
      </w:r>
      <w:r w:rsidR="003F66EC">
        <w:rPr>
          <w:rStyle w:val="Odwoanieprzypisudolnego"/>
        </w:rPr>
        <w:footnoteReference w:id="8"/>
      </w:r>
      <w:r w:rsidR="003F66EC">
        <w:t xml:space="preserve"> </w:t>
      </w:r>
      <w:r w:rsidR="00C1272B">
        <w:t xml:space="preserve">Z kolei </w:t>
      </w:r>
      <w:r w:rsidR="00307001">
        <w:t>„</w:t>
      </w:r>
      <w:r w:rsidR="00C1272B" w:rsidRPr="00307001">
        <w:t xml:space="preserve">Edykt </w:t>
      </w:r>
      <w:proofErr w:type="spellStart"/>
      <w:r w:rsidR="00C1272B" w:rsidRPr="00307001">
        <w:t>Tesaloński</w:t>
      </w:r>
      <w:proofErr w:type="spellEnd"/>
      <w:r w:rsidR="00307001">
        <w:t>”</w:t>
      </w:r>
      <w:r w:rsidR="00C1272B">
        <w:rPr>
          <w:i/>
        </w:rPr>
        <w:t xml:space="preserve"> </w:t>
      </w:r>
      <w:r w:rsidR="00C1272B" w:rsidRPr="00C1272B">
        <w:t>był zapowiedzią prześladowań religii i wyznawców sprzeciwiających się doktrynie religii państwowej</w:t>
      </w:r>
      <w:r w:rsidR="000771C9">
        <w:t xml:space="preserve">- tym razem </w:t>
      </w:r>
      <w:r w:rsidR="00307001">
        <w:t xml:space="preserve">już </w:t>
      </w:r>
      <w:r w:rsidR="000771C9">
        <w:t>chrześcijaństwu</w:t>
      </w:r>
      <w:r w:rsidR="00C1272B" w:rsidRPr="00C1272B">
        <w:t>.</w:t>
      </w:r>
      <w:r w:rsidR="00C1272B">
        <w:rPr>
          <w:i/>
        </w:rPr>
        <w:t xml:space="preserve"> </w:t>
      </w:r>
      <w:r w:rsidR="00C1272B" w:rsidRPr="00511FC4">
        <w:rPr>
          <w:rStyle w:val="Odwoanieprzypisudolnego"/>
        </w:rPr>
        <w:footnoteReference w:id="9"/>
      </w:r>
    </w:p>
    <w:p w:rsidR="00F0612C" w:rsidRDefault="0049473E" w:rsidP="00F0612C">
      <w:r>
        <w:t xml:space="preserve">W Europie </w:t>
      </w:r>
      <w:r w:rsidR="009C492F">
        <w:t xml:space="preserve">kontynentalnej </w:t>
      </w:r>
      <w:r w:rsidR="001F5072">
        <w:t xml:space="preserve">i na Wyspach Brytyjskich </w:t>
      </w:r>
      <w:r w:rsidR="00F0612C">
        <w:t xml:space="preserve">dokumentami, które regulowały prawa wolności były </w:t>
      </w:r>
      <w:proofErr w:type="spellStart"/>
      <w:r w:rsidR="00F0612C">
        <w:t>Magna</w:t>
      </w:r>
      <w:proofErr w:type="spellEnd"/>
      <w:r w:rsidR="00F0612C">
        <w:t xml:space="preserve"> Charta Libertatum z 1215 r., </w:t>
      </w:r>
      <w:proofErr w:type="spellStart"/>
      <w:r w:rsidR="00F0612C">
        <w:t>Habeas</w:t>
      </w:r>
      <w:proofErr w:type="spellEnd"/>
      <w:r w:rsidR="00F0612C">
        <w:t xml:space="preserve"> Corpus </w:t>
      </w:r>
      <w:proofErr w:type="spellStart"/>
      <w:r w:rsidR="00F0612C">
        <w:t>Act</w:t>
      </w:r>
      <w:proofErr w:type="spellEnd"/>
      <w:r w:rsidR="00F0612C">
        <w:t xml:space="preserve"> z 1679 r., ,</w:t>
      </w:r>
      <w:r w:rsidR="0096259B">
        <w:t xml:space="preserve"> </w:t>
      </w:r>
      <w:r w:rsidR="00F0612C">
        <w:t>Deklaracja Praw Człowieka i Obywatela</w:t>
      </w:r>
      <w:r w:rsidR="0096259B">
        <w:t xml:space="preserve"> z 1789 r. </w:t>
      </w:r>
      <w:r w:rsidR="00F0612C">
        <w:t xml:space="preserve">. </w:t>
      </w:r>
      <w:r w:rsidR="001F5072">
        <w:t xml:space="preserve">W Ameryce: </w:t>
      </w:r>
      <w:r w:rsidR="002F0D1C">
        <w:t>Deklaracja P</w:t>
      </w:r>
      <w:r w:rsidR="001F5072">
        <w:t xml:space="preserve">raw </w:t>
      </w:r>
      <w:r w:rsidR="001F5072" w:rsidRPr="00F95C33">
        <w:t>Virginii</w:t>
      </w:r>
      <w:r w:rsidR="002F0D1C" w:rsidRPr="00F95C33">
        <w:t xml:space="preserve"> z 1776 r.</w:t>
      </w:r>
      <w:r w:rsidR="001F5072" w:rsidRPr="00F95C33">
        <w:t xml:space="preserve"> i Bill of </w:t>
      </w:r>
      <w:proofErr w:type="spellStart"/>
      <w:r w:rsidR="001F5072" w:rsidRPr="00F95C33">
        <w:t>Rights</w:t>
      </w:r>
      <w:proofErr w:type="spellEnd"/>
      <w:r w:rsidR="001F5072" w:rsidRPr="00F95C33">
        <w:t xml:space="preserve"> z 1789 r.</w:t>
      </w:r>
      <w:r w:rsidR="002F0D1C" w:rsidRPr="00F95C33">
        <w:rPr>
          <w:rStyle w:val="Odwoanieprzypisudolnego"/>
        </w:rPr>
        <w:footnoteReference w:id="10"/>
      </w:r>
      <w:r w:rsidR="001F5072">
        <w:t xml:space="preserve"> </w:t>
      </w:r>
    </w:p>
    <w:p w:rsidR="00257741" w:rsidRPr="00654D9B" w:rsidRDefault="00E0758E" w:rsidP="00501827">
      <w:pPr>
        <w:rPr>
          <w:highlight w:val="yellow"/>
        </w:rPr>
      </w:pPr>
      <w:r>
        <w:t xml:space="preserve">W XX w. po zakończeniu II wojny światowej istotne znaczenie dla rozwoju praw i wolności w skali globalnej, w tym wolności sumienia były: Karta Narodów Zjednoczonych </w:t>
      </w:r>
      <w:r>
        <w:lastRenderedPageBreak/>
        <w:t xml:space="preserve">uchwalona w 1945 r. </w:t>
      </w:r>
      <w:r>
        <w:rPr>
          <w:rStyle w:val="Odwoanieprzypisudolnego"/>
        </w:rPr>
        <w:footnoteReference w:id="11"/>
      </w:r>
      <w:r>
        <w:t xml:space="preserve"> i Powszechna Deklaracja Praw Człowieka i Obywatela z 10 grudnia 1948 r. </w:t>
      </w:r>
      <w:r>
        <w:rPr>
          <w:rStyle w:val="Odwoanieprzypisudolnego"/>
        </w:rPr>
        <w:footnoteReference w:id="12"/>
      </w:r>
      <w:r w:rsidR="00501827" w:rsidRPr="00501827">
        <w:t xml:space="preserve"> </w:t>
      </w:r>
      <w:r w:rsidR="00F95C33">
        <w:t>14 grudnia 1960 r. zagadnienia prawa do wolności religijnej</w:t>
      </w:r>
      <w:r w:rsidR="000771C9">
        <w:t xml:space="preserve"> znalazły się w Konwencji UNESCO</w:t>
      </w:r>
      <w:r w:rsidR="00F95C33">
        <w:t xml:space="preserve"> „O zwalczaniu dyskryminacji w dziedzinie oświaty”, gdzie również powoływano się na prawa człowieka i p</w:t>
      </w:r>
      <w:r w:rsidR="000771C9">
        <w:t>rawa wolności sumienia (wyznania</w:t>
      </w:r>
      <w:r w:rsidR="00F95C33">
        <w:t>)</w:t>
      </w:r>
      <w:r w:rsidR="00307001">
        <w:t>.</w:t>
      </w:r>
      <w:r w:rsidR="00F95C33">
        <w:rPr>
          <w:rStyle w:val="Odwoanieprzypisudolnego"/>
        </w:rPr>
        <w:footnoteReference w:id="13"/>
      </w:r>
      <w:r w:rsidRPr="00501827">
        <w:t xml:space="preserve">16 grudnia 1966 r. Zgromadzenie Ogólne Narodów Zjednoczonych </w:t>
      </w:r>
      <w:r w:rsidR="00257741" w:rsidRPr="00501827">
        <w:t xml:space="preserve">uchwaliło </w:t>
      </w:r>
      <w:r w:rsidR="0096259B" w:rsidRPr="00501827">
        <w:t>M</w:t>
      </w:r>
      <w:r w:rsidR="00257741" w:rsidRPr="00501827">
        <w:t xml:space="preserve">iędzynarodowy </w:t>
      </w:r>
      <w:r w:rsidR="0096259B" w:rsidRPr="00501827">
        <w:t>P</w:t>
      </w:r>
      <w:r w:rsidR="00257741" w:rsidRPr="00501827">
        <w:t xml:space="preserve">akt </w:t>
      </w:r>
      <w:r w:rsidR="0096259B" w:rsidRPr="00501827">
        <w:t>P</w:t>
      </w:r>
      <w:r w:rsidR="00257741" w:rsidRPr="00501827">
        <w:t xml:space="preserve">raw </w:t>
      </w:r>
      <w:r w:rsidR="0096259B" w:rsidRPr="00501827">
        <w:t>O</w:t>
      </w:r>
      <w:r w:rsidR="00257741" w:rsidRPr="00501827">
        <w:t xml:space="preserve">bywatelskich i </w:t>
      </w:r>
      <w:r w:rsidR="0096259B" w:rsidRPr="00501827">
        <w:t>P</w:t>
      </w:r>
      <w:r w:rsidR="00257741" w:rsidRPr="00501827">
        <w:t>olitycznych</w:t>
      </w:r>
      <w:r w:rsidR="00307001">
        <w:t>,</w:t>
      </w:r>
      <w:r w:rsidR="00257741" w:rsidRPr="00501827">
        <w:t xml:space="preserve"> </w:t>
      </w:r>
      <w:r w:rsidR="00257741" w:rsidRPr="00501827">
        <w:rPr>
          <w:rStyle w:val="Odwoanieprzypisudolnego"/>
        </w:rPr>
        <w:footnoteReference w:id="14"/>
      </w:r>
      <w:r w:rsidR="00F95C33">
        <w:t xml:space="preserve"> </w:t>
      </w:r>
      <w:r w:rsidR="00307001">
        <w:t>n</w:t>
      </w:r>
      <w:r w:rsidR="00F95C33">
        <w:t xml:space="preserve">atomiast </w:t>
      </w:r>
      <w:r w:rsidR="003804BA">
        <w:t>25 listopada 1981 r. przyjęło „Deklarację w sprawie eliminacji wszelkich form nietolerancji opartych na religii i przekonaniach”</w:t>
      </w:r>
      <w:r w:rsidR="00307001">
        <w:t>.</w:t>
      </w:r>
      <w:r w:rsidR="003804BA">
        <w:rPr>
          <w:rStyle w:val="Odwoanieprzypisudolnego"/>
        </w:rPr>
        <w:footnoteReference w:id="15"/>
      </w:r>
    </w:p>
    <w:p w:rsidR="009A61C9" w:rsidRDefault="007A34C7" w:rsidP="007A34C7">
      <w:r>
        <w:t>W odrodzonej Rzeczypospolitej w</w:t>
      </w:r>
      <w:r w:rsidR="00FE2EEE">
        <w:t xml:space="preserve"> konstytucji marcowej </w:t>
      </w:r>
      <w:r w:rsidR="00F60C26">
        <w:t xml:space="preserve">z 17 marca 1921 r. </w:t>
      </w:r>
      <w:r w:rsidR="00FE2EEE">
        <w:t xml:space="preserve">prawa wolności sumienia i wyznania zawarto w V rozdziale </w:t>
      </w:r>
      <w:r>
        <w:t>ustawy zasadniczej</w:t>
      </w:r>
      <w:r w:rsidR="00FE2EEE">
        <w:t xml:space="preserve"> </w:t>
      </w:r>
      <w:r>
        <w:t>(</w:t>
      </w:r>
      <w:r w:rsidR="00FE2EEE">
        <w:t>art. 111 i 112</w:t>
      </w:r>
      <w:r>
        <w:t>)</w:t>
      </w:r>
      <w:r w:rsidR="00FE2EEE">
        <w:t>. Natomiast art. 113, 114, 115 i 116 dotycz</w:t>
      </w:r>
      <w:r w:rsidR="00511FC4">
        <w:t>yły</w:t>
      </w:r>
      <w:r w:rsidR="00FE2EEE">
        <w:t xml:space="preserve"> praw związków wyznaniowych.</w:t>
      </w:r>
      <w:r w:rsidR="00FE2EEE">
        <w:rPr>
          <w:rStyle w:val="Odwoanieprzypisudolnego"/>
        </w:rPr>
        <w:footnoteReference w:id="16"/>
      </w:r>
      <w:r w:rsidR="00FE2EEE">
        <w:t xml:space="preserve"> Wolność sumienia i wyznania zagwarantowano wszystkim obywatelom z wyjątkiem obywateli niepełnoletnich i ubezwłasnowolnionych. W art. 112 czytamy zatem:</w:t>
      </w:r>
    </w:p>
    <w:p w:rsidR="00FE2EEE" w:rsidRDefault="00FE2EEE" w:rsidP="001D5B5E">
      <w:r>
        <w:t>„Nikt nie może być zmuszony do udziału w czynnościach i obrzędach religijnych, o ile nie podlega władzy rodziciels</w:t>
      </w:r>
      <w:r w:rsidR="005A6E22">
        <w:t>kiej i opiekuńczej”.</w:t>
      </w:r>
      <w:r w:rsidR="005A6E22">
        <w:rPr>
          <w:rStyle w:val="Odwoanieprzypisudolnego"/>
        </w:rPr>
        <w:footnoteReference w:id="17"/>
      </w:r>
      <w:r w:rsidR="005A6E22">
        <w:t xml:space="preserve"> Dodatkowe ograniczenie łączyło się z gwarancją korzystania z tych wolności w sposób bezpieczny dla racji stanu RP. </w:t>
      </w:r>
    </w:p>
    <w:p w:rsidR="00E5078E" w:rsidRDefault="00F60C26" w:rsidP="00F34327">
      <w:r>
        <w:t xml:space="preserve">W konstytucji kwietniowej z 23 kwietnia 1935 r. </w:t>
      </w:r>
      <w:r w:rsidR="007A34C7">
        <w:t xml:space="preserve">umieszczono ogólny zapis, </w:t>
      </w:r>
      <w:proofErr w:type="spellStart"/>
      <w:r w:rsidR="00F34327">
        <w:t>cyt</w:t>
      </w:r>
      <w:proofErr w:type="spellEnd"/>
      <w:r w:rsidR="00F34327">
        <w:t>: „</w:t>
      </w:r>
      <w:r w:rsidR="00F34327" w:rsidRPr="00F34327">
        <w:t>Państwo zapewnia obywatelom możność rozwoju ich wartości osobistych oraz wolność sumienie, słowa i zrzeszeń</w:t>
      </w:r>
      <w:r w:rsidR="00F34327">
        <w:t>”</w:t>
      </w:r>
      <w:r w:rsidR="00F34327" w:rsidRPr="00F34327">
        <w:t>.</w:t>
      </w:r>
      <w:r w:rsidR="00F34327">
        <w:rPr>
          <w:rStyle w:val="Odwoanieprzypisudolnego"/>
        </w:rPr>
        <w:footnoteReference w:id="18"/>
      </w:r>
      <w:r w:rsidR="00F34327">
        <w:t xml:space="preserve"> Ustawodawca zagwarantował sobie ograniczenie tych praw, jeśli godziłyby w „dobro powszechne”. </w:t>
      </w:r>
    </w:p>
    <w:p w:rsidR="00843FF1" w:rsidRDefault="00C81DE9" w:rsidP="00B01C82">
      <w:r>
        <w:t xml:space="preserve">Nowa administracja ziem byłej okupacji niemieckiej zaprezentowała swoje stanowisko wobec praw i wolności obywateli polskich w Manifeście PKWN z 1944 r. Dokument ten miał charakter autoprezentacyjny i zawierał ogólną deklarację </w:t>
      </w:r>
      <w:r w:rsidR="00766F06">
        <w:t>przywrócenia</w:t>
      </w:r>
      <w:r w:rsidR="00AD0EAA">
        <w:t xml:space="preserve"> </w:t>
      </w:r>
      <w:r w:rsidR="00766F06">
        <w:t>„ wszelkich swobód demokratycznych, równości obywateli bez różnicy rasy, wyznania i narodowości</w:t>
      </w:r>
      <w:r w:rsidR="00511FC4">
        <w:t>,</w:t>
      </w:r>
      <w:r w:rsidR="00766F06">
        <w:t xml:space="preserve"> </w:t>
      </w:r>
      <w:r w:rsidR="00766F06" w:rsidRPr="00766F06">
        <w:t xml:space="preserve">wolności </w:t>
      </w:r>
      <w:r w:rsidR="00766F06" w:rsidRPr="00766F06">
        <w:lastRenderedPageBreak/>
        <w:t>organizacji politycznych, zawodowych, prasy, sumienia</w:t>
      </w:r>
      <w:r w:rsidR="00766F06">
        <w:t>”.</w:t>
      </w:r>
      <w:r w:rsidR="00FA3F42">
        <w:rPr>
          <w:rStyle w:val="Odwoanieprzypisudolnego"/>
        </w:rPr>
        <w:footnoteReference w:id="19"/>
      </w:r>
      <w:r w:rsidR="00766F06" w:rsidRPr="00766F06">
        <w:t xml:space="preserve"> </w:t>
      </w:r>
      <w:r w:rsidR="00766F06">
        <w:t>Owej ochrony odmówiono „organizacjom faszystowskim jako antynarodowym”</w:t>
      </w:r>
      <w:r w:rsidR="0096259B">
        <w:t>.</w:t>
      </w:r>
      <w:r w:rsidR="00766F06">
        <w:t xml:space="preserve"> </w:t>
      </w:r>
      <w:r w:rsidR="002F0286">
        <w:t xml:space="preserve">Brak stabilności i zakorzenienia nowej władzy zmuszał ją do działań mających znamiona koegzystencji </w:t>
      </w:r>
      <w:r w:rsidR="00AD0EAA">
        <w:t>K</w:t>
      </w:r>
      <w:r w:rsidR="002F0286">
        <w:t xml:space="preserve">ościoła i państwa. B. </w:t>
      </w:r>
      <w:proofErr w:type="spellStart"/>
      <w:r w:rsidR="002F0286">
        <w:t>Noszczak</w:t>
      </w:r>
      <w:proofErr w:type="spellEnd"/>
      <w:r w:rsidR="002F0286">
        <w:t xml:space="preserve"> mówi w tym kontekście o „polityce gestów”, kiedy zez</w:t>
      </w:r>
      <w:r w:rsidR="00C16D57">
        <w:t>wolono</w:t>
      </w:r>
      <w:r w:rsidR="002F0286">
        <w:t>, między innymi</w:t>
      </w:r>
      <w:r w:rsidR="00AD0EAA">
        <w:t>,</w:t>
      </w:r>
      <w:r w:rsidR="002F0286">
        <w:t xml:space="preserve"> na wznowienie działalności Katolickiego Uniwersytetu Lubelskiego i powrót religii do szkół (1944 r.), uznano struktury diecezjalne i parafialne</w:t>
      </w:r>
      <w:r w:rsidR="00C16D57">
        <w:t xml:space="preserve"> oraz </w:t>
      </w:r>
      <w:r w:rsidR="00B442EE">
        <w:t>wydano zgodę na publikację</w:t>
      </w:r>
      <w:r w:rsidR="00C16D57">
        <w:t xml:space="preserve"> tytułów prasowych, między innymi</w:t>
      </w:r>
      <w:r w:rsidR="00B442EE">
        <w:t>,</w:t>
      </w:r>
      <w:r w:rsidR="00C16D57">
        <w:t xml:space="preserve"> „Tygodnika Powszechnego”.</w:t>
      </w:r>
      <w:r w:rsidR="002F0286">
        <w:t xml:space="preserve"> </w:t>
      </w:r>
      <w:r w:rsidR="00C16D57">
        <w:t xml:space="preserve">Kościół </w:t>
      </w:r>
      <w:r w:rsidR="00B442EE">
        <w:t xml:space="preserve">miał </w:t>
      </w:r>
      <w:r w:rsidR="00B442EE" w:rsidRPr="00B442EE">
        <w:t xml:space="preserve">również </w:t>
      </w:r>
      <w:r w:rsidR="00B442EE">
        <w:t>prawo zarządzać</w:t>
      </w:r>
      <w:r w:rsidR="00734FF8">
        <w:t xml:space="preserve"> swoim majątkiem.</w:t>
      </w:r>
      <w:r w:rsidR="00172184">
        <w:rPr>
          <w:rStyle w:val="Odwoanieprzypisudolnego"/>
        </w:rPr>
        <w:footnoteReference w:id="20"/>
      </w:r>
      <w:r w:rsidR="00734FF8">
        <w:t xml:space="preserve"> </w:t>
      </w:r>
      <w:r w:rsidR="00B442EE">
        <w:t>R</w:t>
      </w:r>
      <w:r w:rsidR="00734FF8">
        <w:t xml:space="preserve">amy systemu prawnego, a także stosunków państwo- </w:t>
      </w:r>
      <w:r w:rsidR="00AD0EAA">
        <w:t>K</w:t>
      </w:r>
      <w:r w:rsidR="00734FF8">
        <w:t xml:space="preserve">ościół (katolicki) </w:t>
      </w:r>
      <w:r w:rsidR="00B442EE">
        <w:t>określał</w:t>
      </w:r>
      <w:r w:rsidR="00734FF8">
        <w:t xml:space="preserve">y dokumenty </w:t>
      </w:r>
      <w:r w:rsidR="00B442EE">
        <w:t xml:space="preserve"> </w:t>
      </w:r>
      <w:r w:rsidR="00734FF8">
        <w:t xml:space="preserve">przedwojenne: </w:t>
      </w:r>
      <w:r w:rsidR="00B442EE">
        <w:t>Konstytucja</w:t>
      </w:r>
      <w:r w:rsidR="00734FF8">
        <w:t xml:space="preserve"> marcowa</w:t>
      </w:r>
      <w:r w:rsidR="002F0286">
        <w:t xml:space="preserve"> z 1921. r.</w:t>
      </w:r>
      <w:r w:rsidR="00734FF8">
        <w:t xml:space="preserve"> i konkordat z 1925 r. Ten ostatni zerwano </w:t>
      </w:r>
      <w:r w:rsidR="009E5987">
        <w:t>12 września 1</w:t>
      </w:r>
      <w:r w:rsidR="00734FF8">
        <w:t>945 r.</w:t>
      </w:r>
      <w:r w:rsidR="00734FF8">
        <w:rPr>
          <w:rStyle w:val="Odwoanieprzypisudolnego"/>
        </w:rPr>
        <w:footnoteReference w:id="21"/>
      </w:r>
      <w:r w:rsidR="00734FF8">
        <w:t xml:space="preserve"> Trwały też prace</w:t>
      </w:r>
      <w:r w:rsidR="009E5987">
        <w:t xml:space="preserve"> nad zmianą polityki państwa w szerszej skali, co w połączeniu ze skoordynowanymi działaniami </w:t>
      </w:r>
      <w:r w:rsidR="00734FF8">
        <w:t>inspirowanymi zewnętrznie:</w:t>
      </w:r>
      <w:r w:rsidR="00496F33">
        <w:t xml:space="preserve"> powołanie</w:t>
      </w:r>
      <w:r w:rsidR="00734FF8">
        <w:t>m</w:t>
      </w:r>
      <w:r w:rsidR="00496F33">
        <w:t xml:space="preserve"> Biura Informacyjne</w:t>
      </w:r>
      <w:r w:rsidR="003804BA">
        <w:t>go</w:t>
      </w:r>
      <w:r w:rsidR="00496F33">
        <w:t xml:space="preserve"> Partii Ko</w:t>
      </w:r>
      <w:r w:rsidR="00496F33" w:rsidRPr="00496F33">
        <w:t>munistycznych i Robotniczych (tzw. Kominform)</w:t>
      </w:r>
      <w:r w:rsidR="00496F33">
        <w:t xml:space="preserve"> </w:t>
      </w:r>
      <w:r w:rsidR="00734FF8">
        <w:t>w Szklarskiej Porębie</w:t>
      </w:r>
      <w:r w:rsidR="00734FF8" w:rsidRPr="00734FF8">
        <w:t xml:space="preserve"> 22- 27 września 1947. r</w:t>
      </w:r>
      <w:r w:rsidR="00734FF8">
        <w:t>, wytycznymi</w:t>
      </w:r>
      <w:r w:rsidR="00496F33">
        <w:t xml:space="preserve"> Moskwy z referatu </w:t>
      </w:r>
      <w:r w:rsidR="00781819">
        <w:t xml:space="preserve">A. Żdanowa- </w:t>
      </w:r>
      <w:r w:rsidR="00496F33">
        <w:t xml:space="preserve"> przełożyły się na politykę skrajnej wrogości i dyskryminacji kościoła i duchownych. Nie bez znaczenia było również zamykanie kanałów komunikacji ( ograniczenia papieru i cenzura prasy, usuwanie religii ze szkół i programy laicyzacji wych</w:t>
      </w:r>
      <w:r w:rsidR="00781819">
        <w:t>owania, czy wreszcie ograniczanie dotacji</w:t>
      </w:r>
      <w:r w:rsidR="00496F33">
        <w:t xml:space="preserve"> na rzecz ochrony zabytków sakralnych i należących do majątku Kościoła ).</w:t>
      </w:r>
      <w:r w:rsidR="00496F33">
        <w:rPr>
          <w:rStyle w:val="Odwoanieprzypisudolnego"/>
        </w:rPr>
        <w:footnoteReference w:id="22"/>
      </w:r>
      <w:r w:rsidR="009E5987">
        <w:t xml:space="preserve"> </w:t>
      </w:r>
      <w:r w:rsidR="00496F33">
        <w:t>Mobilizowano również aparat bezpieczeństwa ku działaniom na rzecz głębokiej i systemowej inwigilacji duchownych.</w:t>
      </w:r>
      <w:r w:rsidR="00496F33">
        <w:rPr>
          <w:rStyle w:val="Odwoanieprzypisudolnego"/>
        </w:rPr>
        <w:footnoteReference w:id="23"/>
      </w:r>
      <w:r w:rsidR="00781819">
        <w:t xml:space="preserve"> Postawa władzy uległa dalszej radykalizacji po 1948 r., który był w Polsce rokiem zjednoczeniowym PZPR (15- 21 grudnia 1948 r.)</w:t>
      </w:r>
      <w:r w:rsidR="00CC7560">
        <w:t>.</w:t>
      </w:r>
      <w:r w:rsidR="00781819">
        <w:t xml:space="preserve"> Natomiast na arenie międzynarodowej pogłębiły się podziały między Wschodem i Zachodem Europy (kryzys berliński, a potem powstanie N</w:t>
      </w:r>
      <w:r w:rsidR="00CC7560">
        <w:t xml:space="preserve">ATO). </w:t>
      </w:r>
      <w:r w:rsidR="0019795A">
        <w:t>Państwa bloku pro-radzieckiego przygotowywały się do walki politycznej z kościoł</w:t>
      </w:r>
      <w:r w:rsidR="00C33DD4">
        <w:t>ami, czego wyrazem</w:t>
      </w:r>
      <w:r w:rsidR="0019795A">
        <w:t xml:space="preserve"> była </w:t>
      </w:r>
      <w:r w:rsidR="005C1365">
        <w:t xml:space="preserve">konferencja w Karlowych Warach z 11- 12 lutego 1949 r. </w:t>
      </w:r>
      <w:r w:rsidR="00CC7560">
        <w:t xml:space="preserve"> </w:t>
      </w:r>
      <w:r w:rsidR="002169C8">
        <w:t>Na działania polskich władz bezpośredni wpływ wywierały</w:t>
      </w:r>
      <w:r w:rsidR="00781819">
        <w:t xml:space="preserve"> </w:t>
      </w:r>
      <w:r w:rsidR="002169C8">
        <w:t xml:space="preserve">instrukcje Stalina przekazane B. Bierutowi podczas wizyty w Moskwie 1 sierpnia 1949 r. </w:t>
      </w:r>
      <w:r w:rsidR="00501827">
        <w:t xml:space="preserve"> Głównym celem było</w:t>
      </w:r>
      <w:r w:rsidR="002169C8">
        <w:t xml:space="preserve"> rozbici</w:t>
      </w:r>
      <w:r w:rsidR="00501827">
        <w:t>e</w:t>
      </w:r>
      <w:r w:rsidR="002169C8">
        <w:t xml:space="preserve"> struktur niższej hierarchii duchownej</w:t>
      </w:r>
      <w:r w:rsidR="00501827">
        <w:t xml:space="preserve"> poprzez stworzenia </w:t>
      </w:r>
      <w:r w:rsidR="00843FF1">
        <w:t>środowisk</w:t>
      </w:r>
      <w:r w:rsidR="00501827">
        <w:t>a</w:t>
      </w:r>
      <w:r w:rsidR="002169C8">
        <w:t xml:space="preserve"> „księży </w:t>
      </w:r>
      <w:r w:rsidR="002169C8">
        <w:lastRenderedPageBreak/>
        <w:t>patriotów”</w:t>
      </w:r>
      <w:r w:rsidR="00843FF1">
        <w:t xml:space="preserve"> inspirowan</w:t>
      </w:r>
      <w:r w:rsidR="00501827">
        <w:t>ych</w:t>
      </w:r>
      <w:r w:rsidR="002169C8">
        <w:t xml:space="preserve"> ruchem „żywej cerkwi” z ZSRR</w:t>
      </w:r>
      <w:r w:rsidR="00501827">
        <w:t xml:space="preserve">. W działania </w:t>
      </w:r>
      <w:proofErr w:type="spellStart"/>
      <w:r w:rsidR="00501827">
        <w:t>dekonstrukcyjne</w:t>
      </w:r>
      <w:proofErr w:type="spellEnd"/>
      <w:r w:rsidR="00501827">
        <w:t xml:space="preserve"> wobec Kościoła </w:t>
      </w:r>
      <w:r w:rsidR="002169C8">
        <w:t xml:space="preserve"> </w:t>
      </w:r>
      <w:r w:rsidR="00501827">
        <w:t xml:space="preserve">wpisywał się też </w:t>
      </w:r>
      <w:r w:rsidR="002169C8">
        <w:t>ruch B. Piaseckiego</w:t>
      </w:r>
      <w:r w:rsidR="00843FF1">
        <w:t xml:space="preserve"> przekształcony w 1952 r. w PAX</w:t>
      </w:r>
      <w:r w:rsidR="002169C8">
        <w:t>.</w:t>
      </w:r>
      <w:r w:rsidR="002169C8">
        <w:rPr>
          <w:rStyle w:val="Odwoanieprzypisudolnego"/>
        </w:rPr>
        <w:footnoteReference w:id="24"/>
      </w:r>
      <w:bookmarkStart w:id="12" w:name="_Hlk128249370"/>
    </w:p>
    <w:bookmarkEnd w:id="12"/>
    <w:p w:rsidR="00843FF1" w:rsidRDefault="00C33DD4" w:rsidP="00C33DD4">
      <w:r>
        <w:t>Narastały również konflikty między PRL a Watykanem. 1 lipca 1949 r. Stolica Apostolska wydała dekret Świętego Oficjum, grożący ekskomuniką katolikom należącym do partii komunistycznej lub współpracującym z komunistami w życiu społecznym.</w:t>
      </w:r>
      <w:r w:rsidR="00843FF1">
        <w:t xml:space="preserve"> </w:t>
      </w:r>
      <w:r>
        <w:rPr>
          <w:rStyle w:val="Odwoanieprzypisudolnego"/>
        </w:rPr>
        <w:footnoteReference w:id="25"/>
      </w:r>
      <w:r w:rsidR="002169C8">
        <w:t xml:space="preserve"> </w:t>
      </w:r>
    </w:p>
    <w:p w:rsidR="00F85FA7" w:rsidRPr="0096259B" w:rsidRDefault="00843FF1" w:rsidP="00C33DD4">
      <w:r>
        <w:t xml:space="preserve">5 sierpnia 1949 r. ogłoszono dekret o ochronie wolności </w:t>
      </w:r>
      <w:r w:rsidR="00070D4A">
        <w:t>sumienia i wyznania.</w:t>
      </w:r>
      <w:r w:rsidR="00070D4A">
        <w:rPr>
          <w:rStyle w:val="Odwoanieprzypisudolnego"/>
        </w:rPr>
        <w:footnoteReference w:id="26"/>
      </w:r>
      <w:r w:rsidR="004C449B">
        <w:t xml:space="preserve"> Wbrew sugestiom zawartym w tytule aktu- nie tyle chronił </w:t>
      </w:r>
      <w:r w:rsidR="008A6280">
        <w:t xml:space="preserve">on </w:t>
      </w:r>
      <w:r w:rsidR="004C449B">
        <w:t>wolność sumienia i wyznania, co stawiał tym zjawiskom zdecydowane granice. Tomasz Szczygieł w tekście : „Kwestia „ochrony” sumienia i wyznania w toku prac nad kodyfikacją prawa karnego Polskiej Rzeczypospolitej Ludowej 1949- 1969</w:t>
      </w:r>
      <w:r w:rsidR="008A6280">
        <w:t>”</w:t>
      </w:r>
      <w:r w:rsidR="004C449B">
        <w:t xml:space="preserve"> zwrócił uwagę na uwarunkowania polityczne wydania owego dekretu. Pierwszą z przesłanek były pra</w:t>
      </w:r>
      <w:r w:rsidR="00AD0A48">
        <w:t>ce kodyfikacyjne prawa karnego</w:t>
      </w:r>
      <w:r w:rsidR="00EE6ED4">
        <w:t xml:space="preserve"> (uchylenie przepisów z kodeksu karnego z </w:t>
      </w:r>
      <w:r w:rsidR="00EE6ED4" w:rsidRPr="003804BA">
        <w:t>1932 r.,</w:t>
      </w:r>
      <w:r w:rsidR="00EE6ED4">
        <w:t xml:space="preserve"> oraz dekretu z </w:t>
      </w:r>
      <w:r w:rsidR="00EE6ED4" w:rsidRPr="003804BA">
        <w:t>13 czerwca 1946 r. o przestępstwach szczególnie niebezpiecznych w okresie odbudowy państwa</w:t>
      </w:r>
      <w:r w:rsidR="001D3C1B">
        <w:t>.</w:t>
      </w:r>
      <w:r w:rsidR="00EE6ED4">
        <w:rPr>
          <w:rStyle w:val="Odwoanieprzypisudolnego"/>
        </w:rPr>
        <w:footnoteReference w:id="27"/>
      </w:r>
      <w:r w:rsidR="001D3C1B">
        <w:t xml:space="preserve"> </w:t>
      </w:r>
      <w:r w:rsidR="00AD0A48">
        <w:t>Drugą</w:t>
      </w:r>
      <w:r w:rsidR="003B6223">
        <w:t xml:space="preserve"> i trzecią</w:t>
      </w:r>
      <w:r w:rsidR="00AD0A48">
        <w:t xml:space="preserve">- wydarzenia „cudu lubelskiego” i przywołanego wcześniej ogłoszenia dekretu Świętego Oficjum o ekskomunice katolików- współpracujących z aparatem komunistycznym. </w:t>
      </w:r>
      <w:r w:rsidR="00AD0A48">
        <w:rPr>
          <w:rStyle w:val="Odwoanieprzypisudolnego"/>
        </w:rPr>
        <w:footnoteReference w:id="28"/>
      </w:r>
      <w:r w:rsidR="003B6223">
        <w:t xml:space="preserve"> </w:t>
      </w:r>
      <w:r w:rsidR="008A6280">
        <w:t xml:space="preserve">T. </w:t>
      </w:r>
      <w:r w:rsidR="003B6223">
        <w:t xml:space="preserve">Szczygieł przytacza tu opinię Stanisława Pławskiego, który zakwalifikował dekret jako akt o charakterze konstytucyjno-karnym. </w:t>
      </w:r>
      <w:r w:rsidR="003B6223">
        <w:rPr>
          <w:rStyle w:val="Odwoanieprzypisudolnego"/>
        </w:rPr>
        <w:footnoteReference w:id="29"/>
      </w:r>
      <w:r w:rsidR="003B6223">
        <w:t xml:space="preserve"> Funkcjonalnie akt ten pełnił rolę ochrony prawnej </w:t>
      </w:r>
      <w:r w:rsidR="00EE6ED4">
        <w:t xml:space="preserve">członków partii i ich rodzin przed groźbą poddania ekskomunice. </w:t>
      </w:r>
      <w:r w:rsidR="00CE5895">
        <w:t xml:space="preserve">Dekret chronił też obywateli o poglądach ateistycznych. Potwierdzono w nim </w:t>
      </w:r>
      <w:r w:rsidR="00891A4D">
        <w:t>również</w:t>
      </w:r>
      <w:r w:rsidR="00CE5895">
        <w:t xml:space="preserve"> jasno odpowiedzialność karną w przypadku ataku na państwo. Ostatnia przesłanka łączy się w kontekście „cudu lubelskiego” z obawami władzy o </w:t>
      </w:r>
      <w:r w:rsidR="003804BA">
        <w:t xml:space="preserve">wymierzoną w system </w:t>
      </w:r>
      <w:r w:rsidR="00CE5895">
        <w:t xml:space="preserve">mobilizację wiernych , głównie katolików, przez hierarchów. </w:t>
      </w:r>
      <w:r w:rsidR="00EE6ED4">
        <w:rPr>
          <w:rStyle w:val="Odwoanieprzypisudolnego"/>
        </w:rPr>
        <w:footnoteReference w:id="30"/>
      </w:r>
      <w:r w:rsidR="00914912">
        <w:t xml:space="preserve"> </w:t>
      </w:r>
      <w:r w:rsidR="00891A4D">
        <w:t>Powyższy dekret w</w:t>
      </w:r>
      <w:r w:rsidR="00914912">
        <w:t>raz z dekretem o stowarzyszeniach z 5 sierpnia 1949 r.</w:t>
      </w:r>
      <w:r w:rsidR="00914912">
        <w:rPr>
          <w:rStyle w:val="Odwoanieprzypisudolnego"/>
        </w:rPr>
        <w:footnoteReference w:id="31"/>
      </w:r>
      <w:r w:rsidR="00914912">
        <w:t xml:space="preserve"> był </w:t>
      </w:r>
      <w:r w:rsidR="00914912">
        <w:lastRenderedPageBreak/>
        <w:t xml:space="preserve">wykorzystywany do walki z duchownymi i kościołem. </w:t>
      </w:r>
      <w:r w:rsidR="00914912" w:rsidRPr="00914912">
        <w:t xml:space="preserve">Dawał bowiem władzy uprawnienia kontrolno-rewizyjne w stowarzyszeniach. W efekcie władze kościelne zawiesiły działalność wszystkich zrzeszeń religijnych, w tym </w:t>
      </w:r>
      <w:proofErr w:type="spellStart"/>
      <w:r w:rsidR="00914912" w:rsidRPr="00914912">
        <w:t>solidacji</w:t>
      </w:r>
      <w:proofErr w:type="spellEnd"/>
      <w:r w:rsidR="00914912" w:rsidRPr="00914912">
        <w:t xml:space="preserve"> mariańskich. Zagrożony wrogim przejęciem był również Caritas.</w:t>
      </w:r>
      <w:r w:rsidR="00914912">
        <w:rPr>
          <w:rStyle w:val="Odwoanieprzypisudolnego"/>
        </w:rPr>
        <w:footnoteReference w:id="32"/>
      </w:r>
      <w:r w:rsidR="00914912">
        <w:t xml:space="preserve"> </w:t>
      </w:r>
      <w:r w:rsidR="00936F20">
        <w:t xml:space="preserve">20 marca 1950 r. uchwalono ustawę o przejęciu dóbr martwej ręki. Równowagi w stosunkach państwo- </w:t>
      </w:r>
      <w:r w:rsidR="00575B9A" w:rsidRPr="00891A4D">
        <w:t>K</w:t>
      </w:r>
      <w:r w:rsidR="00936F20" w:rsidRPr="00891A4D">
        <w:t>ościół</w:t>
      </w:r>
      <w:r w:rsidR="00936F20">
        <w:t xml:space="preserve"> nie przywróciła umowa między Episkopatem a rządem z 14 kwietnia 1950</w:t>
      </w:r>
      <w:r w:rsidR="003804BA">
        <w:t xml:space="preserve"> </w:t>
      </w:r>
      <w:r w:rsidR="00936F20">
        <w:t>r.</w:t>
      </w:r>
      <w:r w:rsidR="00936F20">
        <w:rPr>
          <w:rStyle w:val="Odwoanieprzypisudolnego"/>
        </w:rPr>
        <w:footnoteReference w:id="33"/>
      </w:r>
      <w:r w:rsidR="003804BA">
        <w:t>, która</w:t>
      </w:r>
      <w:r w:rsidR="00F53897">
        <w:t xml:space="preserve"> zawierała warunki koegzystencji </w:t>
      </w:r>
      <w:r w:rsidR="00891A4D">
        <w:t>K</w:t>
      </w:r>
      <w:r w:rsidR="00F53897">
        <w:t xml:space="preserve">ościoła </w:t>
      </w:r>
      <w:r w:rsidR="003804BA">
        <w:t>i</w:t>
      </w:r>
      <w:r w:rsidR="00F53897">
        <w:t xml:space="preserve"> państw</w:t>
      </w:r>
      <w:r w:rsidR="003804BA">
        <w:t>a</w:t>
      </w:r>
      <w:r w:rsidR="00F53897">
        <w:t xml:space="preserve"> socjalistyczn</w:t>
      </w:r>
      <w:r w:rsidR="003804BA">
        <w:t>ego</w:t>
      </w:r>
      <w:r w:rsidR="00F53897">
        <w:t xml:space="preserve">. Episkopat legitymizował obecność Polski na Ziemiach Odzyskanych i zobowiązał się działać zgodnie z </w:t>
      </w:r>
      <w:r w:rsidR="00891A4D">
        <w:t>racją stanu Polskiej Rzeczypospolitej Ludowej</w:t>
      </w:r>
      <w:r w:rsidR="00F53897">
        <w:t xml:space="preserve">. W zamian zyskiwał </w:t>
      </w:r>
      <w:r w:rsidR="00CB0149">
        <w:t xml:space="preserve">prawo do nauczania religii poza szkołą, prowadzenie szkół katolickich i Katolickiego Uniwersytetu Lubelskiego.  Władze dawały też </w:t>
      </w:r>
      <w:r w:rsidR="00891A4D">
        <w:t>K</w:t>
      </w:r>
      <w:r w:rsidR="00CB0149">
        <w:t>ościołowi prawo do prowadzenia działalności charytatywnej</w:t>
      </w:r>
      <w:r w:rsidR="008A6280">
        <w:t>,</w:t>
      </w:r>
      <w:r w:rsidR="00CB0149">
        <w:t xml:space="preserve"> </w:t>
      </w:r>
      <w:r w:rsidR="003804BA">
        <w:t xml:space="preserve">a </w:t>
      </w:r>
      <w:r w:rsidR="008A6280" w:rsidRPr="0096259B">
        <w:t>p</w:t>
      </w:r>
      <w:r w:rsidR="00CB0149" w:rsidRPr="0096259B">
        <w:t>rasie katolickiej zapewniono wolność słowa. Wierni zyskiwali prawo do praktyk religijnych w przestrzeni społecznej, opiekę duchownych w placówkach szpitalnych, więzieniach. Funk</w:t>
      </w:r>
      <w:r w:rsidR="008A6280" w:rsidRPr="0096259B">
        <w:t>c</w:t>
      </w:r>
      <w:r w:rsidR="00CB0149" w:rsidRPr="0096259B">
        <w:t>jonować mogły również zakony. Zarówno papież</w:t>
      </w:r>
      <w:r w:rsidR="004E7066">
        <w:t xml:space="preserve"> Pius XII</w:t>
      </w:r>
      <w:r w:rsidR="00CB0149" w:rsidRPr="0096259B">
        <w:t xml:space="preserve">, </w:t>
      </w:r>
      <w:r w:rsidR="004E7066">
        <w:t xml:space="preserve">jak i władze w </w:t>
      </w:r>
      <w:r w:rsidR="00CB0149" w:rsidRPr="0096259B">
        <w:t>Moskw</w:t>
      </w:r>
      <w:r w:rsidR="004E7066">
        <w:t>ie</w:t>
      </w:r>
      <w:r w:rsidR="00CB0149" w:rsidRPr="0096259B">
        <w:t xml:space="preserve">, ale również biskupi i niższe duchowieństwo </w:t>
      </w:r>
      <w:r w:rsidR="008A6280" w:rsidRPr="0096259B">
        <w:t>w Polsce</w:t>
      </w:r>
      <w:r w:rsidR="00511FC4">
        <w:t>,</w:t>
      </w:r>
      <w:r w:rsidR="008A6280" w:rsidRPr="0096259B">
        <w:t xml:space="preserve"> </w:t>
      </w:r>
      <w:r w:rsidR="00CB0149" w:rsidRPr="0096259B">
        <w:t>przyjęli ow</w:t>
      </w:r>
      <w:r w:rsidR="004E7066">
        <w:t>ą</w:t>
      </w:r>
      <w:r w:rsidR="008A6280" w:rsidRPr="0096259B">
        <w:t xml:space="preserve"> ugod</w:t>
      </w:r>
      <w:r w:rsidR="004E7066">
        <w:t>ę</w:t>
      </w:r>
      <w:r w:rsidR="00CB0149" w:rsidRPr="0096259B">
        <w:t xml:space="preserve"> z dystansem. </w:t>
      </w:r>
      <w:r w:rsidR="00CB0149" w:rsidRPr="0096259B">
        <w:rPr>
          <w:rStyle w:val="Odwoanieprzypisudolnego"/>
        </w:rPr>
        <w:footnoteReference w:id="34"/>
      </w:r>
      <w:r w:rsidR="00CB0149" w:rsidRPr="0096259B">
        <w:t xml:space="preserve"> </w:t>
      </w:r>
      <w:r w:rsidR="008A6280" w:rsidRPr="0096259B">
        <w:t xml:space="preserve"> Przypomnieć należy, że m</w:t>
      </w:r>
      <w:r w:rsidR="005A2E70" w:rsidRPr="0096259B">
        <w:t xml:space="preserve">imo zawarcia porozumienia </w:t>
      </w:r>
      <w:r w:rsidR="00CB0149" w:rsidRPr="0096259B">
        <w:t xml:space="preserve">władze nadal prowadziły </w:t>
      </w:r>
      <w:r w:rsidR="005A2E70" w:rsidRPr="0096259B">
        <w:t xml:space="preserve">radykalną </w:t>
      </w:r>
      <w:r w:rsidR="00CB0149" w:rsidRPr="0096259B">
        <w:t xml:space="preserve">politykę </w:t>
      </w:r>
      <w:r w:rsidR="005A2E70" w:rsidRPr="0096259B">
        <w:t>wobec</w:t>
      </w:r>
      <w:r w:rsidR="00CB0149" w:rsidRPr="0096259B">
        <w:t xml:space="preserve"> </w:t>
      </w:r>
      <w:r w:rsidR="00891A4D">
        <w:t>K</w:t>
      </w:r>
      <w:r w:rsidR="00CB0149" w:rsidRPr="0096259B">
        <w:t>ościoła</w:t>
      </w:r>
      <w:r w:rsidR="008A6280" w:rsidRPr="0096259B">
        <w:t>, która wynikała z inst</w:t>
      </w:r>
      <w:r w:rsidR="004E7066">
        <w:t>r</w:t>
      </w:r>
      <w:r w:rsidR="008A6280" w:rsidRPr="0096259B">
        <w:t xml:space="preserve">ukcji płynących </w:t>
      </w:r>
      <w:r w:rsidR="00891A4D">
        <w:t>z Moskwy</w:t>
      </w:r>
      <w:r w:rsidR="008A6280" w:rsidRPr="0096259B">
        <w:t>.</w:t>
      </w:r>
      <w:r w:rsidR="005A2E70" w:rsidRPr="0096259B">
        <w:t xml:space="preserve"> </w:t>
      </w:r>
      <w:r w:rsidR="00F261B6" w:rsidRPr="0096259B">
        <w:t>27 maja Rada Ministrów PRL uchwaliła akt powołania Urzędu do Spraw Wyznań</w:t>
      </w:r>
      <w:r w:rsidR="004E7066">
        <w:t>.</w:t>
      </w:r>
      <w:r w:rsidR="00F261B6" w:rsidRPr="0096259B">
        <w:rPr>
          <w:rStyle w:val="Odwoanieprzypisudolnego"/>
        </w:rPr>
        <w:footnoteReference w:id="35"/>
      </w:r>
      <w:r w:rsidR="004E7066">
        <w:t xml:space="preserve"> Krok ten instytucjonalizował działania infiltracyjne wobec kościołów i związków wyznaniowych. </w:t>
      </w:r>
    </w:p>
    <w:p w:rsidR="00AE06B4" w:rsidRDefault="00CB0149" w:rsidP="00AE06B4">
      <w:r w:rsidRPr="0096259B">
        <w:t xml:space="preserve"> </w:t>
      </w:r>
      <w:r w:rsidR="005A2E70" w:rsidRPr="0096259B">
        <w:t xml:space="preserve">Od 1951 do 1953 r. </w:t>
      </w:r>
      <w:r w:rsidR="008A6280" w:rsidRPr="0096259B">
        <w:t>miały miejsce</w:t>
      </w:r>
      <w:r w:rsidR="005A2E70" w:rsidRPr="0096259B">
        <w:t xml:space="preserve"> procesy pokaz</w:t>
      </w:r>
      <w:r w:rsidR="008A6280" w:rsidRPr="0096259B">
        <w:t>o</w:t>
      </w:r>
      <w:r w:rsidR="005A2E70" w:rsidRPr="0096259B">
        <w:t>we duchownych, a od 1952 r. zaczęto usuwać ze szkół symbole religijne i likwidować na</w:t>
      </w:r>
      <w:r w:rsidR="008A6280" w:rsidRPr="0096259B">
        <w:t>u</w:t>
      </w:r>
      <w:r w:rsidR="005A2E70" w:rsidRPr="0096259B">
        <w:t>czanie katechezy. Rozwiązano 60 niższych seminariów duchownych. Do wrogiej koegzystencji przyczynił się też dekret o obsadzaniu stanowisk kościelnych z 9 lutego 1953 r.</w:t>
      </w:r>
      <w:r w:rsidR="005A2E70" w:rsidRPr="0096259B">
        <w:rPr>
          <w:rStyle w:val="Odwoanieprzypisudolnego"/>
        </w:rPr>
        <w:footnoteReference w:id="36"/>
      </w:r>
      <w:r w:rsidR="00F07FBA" w:rsidRPr="0096259B">
        <w:t xml:space="preserve"> </w:t>
      </w:r>
      <w:r w:rsidR="008A6280" w:rsidRPr="0096259B">
        <w:t xml:space="preserve">Czynił on </w:t>
      </w:r>
      <w:r w:rsidR="00891A4D">
        <w:t>K</w:t>
      </w:r>
      <w:r w:rsidR="008A6280" w:rsidRPr="0096259B">
        <w:t xml:space="preserve">ościół w Polsce </w:t>
      </w:r>
      <w:r w:rsidR="00673B73" w:rsidRPr="0096259B">
        <w:t xml:space="preserve">podmiotem podległym państwu. </w:t>
      </w:r>
      <w:r w:rsidR="00F07FBA" w:rsidRPr="0096259B">
        <w:t>Odpowiedzią Kościoła Rzymsko-katolickiego</w:t>
      </w:r>
      <w:r w:rsidR="00891A4D">
        <w:t xml:space="preserve"> i Stefana Wyszyńskiego</w:t>
      </w:r>
      <w:r w:rsidR="00F07FBA" w:rsidRPr="0096259B">
        <w:t xml:space="preserve"> był </w:t>
      </w:r>
      <w:r w:rsidR="00AA5AEC">
        <w:t xml:space="preserve">ikoniczny </w:t>
      </w:r>
      <w:r w:rsidR="00AA5AEC">
        <w:lastRenderedPageBreak/>
        <w:t xml:space="preserve">już </w:t>
      </w:r>
      <w:r w:rsidR="00F07FBA" w:rsidRPr="0096259B">
        <w:t xml:space="preserve">dokument </w:t>
      </w:r>
      <w:r w:rsidR="00AA5AEC">
        <w:t xml:space="preserve">„Non Possumus” </w:t>
      </w:r>
      <w:r w:rsidR="00F07FBA" w:rsidRPr="0096259B">
        <w:t xml:space="preserve">z </w:t>
      </w:r>
      <w:r w:rsidR="00F07FBA" w:rsidRPr="008F70C8">
        <w:t>8 maja 1953</w:t>
      </w:r>
      <w:r w:rsidR="004E7066">
        <w:t xml:space="preserve"> </w:t>
      </w:r>
      <w:r w:rsidR="00F07FBA" w:rsidRPr="0096259B">
        <w:t>r.</w:t>
      </w:r>
      <w:r w:rsidR="004E7066">
        <w:rPr>
          <w:rStyle w:val="Odwoanieprzypisudolnego"/>
        </w:rPr>
        <w:footnoteReference w:id="37"/>
      </w:r>
      <w:r w:rsidR="00673B73" w:rsidRPr="0096259B">
        <w:t xml:space="preserve">, zaś </w:t>
      </w:r>
      <w:r w:rsidR="00F07FBA" w:rsidRPr="0096259B">
        <w:t xml:space="preserve"> </w:t>
      </w:r>
      <w:r w:rsidR="00673B73" w:rsidRPr="0096259B">
        <w:t>k</w:t>
      </w:r>
      <w:r w:rsidR="00F07FBA" w:rsidRPr="0096259B">
        <w:t>ulminacją konfliktu</w:t>
      </w:r>
      <w:r w:rsidR="00673B73" w:rsidRPr="0096259B">
        <w:t>-</w:t>
      </w:r>
      <w:r w:rsidR="00F07FBA" w:rsidRPr="0096259B">
        <w:t xml:space="preserve"> aresztowanie Prymasa Polski </w:t>
      </w:r>
      <w:r w:rsidR="00673B73" w:rsidRPr="0096259B">
        <w:t xml:space="preserve">w nocy </w:t>
      </w:r>
      <w:r w:rsidR="00F07FBA" w:rsidRPr="0096259B">
        <w:t xml:space="preserve">25/26 września 1953 r., a następnie jego internowanie. Do przełamania najbardziej agresywnych działań państwa doszło </w:t>
      </w:r>
      <w:r w:rsidR="0005207F" w:rsidRPr="0096259B">
        <w:t xml:space="preserve">dopiero po wypadkach poznańskich w czerwcu 1956 r. </w:t>
      </w:r>
      <w:r w:rsidR="00673B73" w:rsidRPr="0096259B">
        <w:t>Tego samego lata</w:t>
      </w:r>
      <w:r w:rsidR="0005207F" w:rsidRPr="0096259B">
        <w:t xml:space="preserve"> miała miejsce manifestacja uczuć religijnych i lojalności wobec </w:t>
      </w:r>
      <w:r w:rsidR="00891A4D">
        <w:t>K</w:t>
      </w:r>
      <w:r w:rsidR="0005207F" w:rsidRPr="0096259B">
        <w:t>ościoła podczas ślubów jasnogórskich 26 sierpnia. Po przesileniu politycznym i wybraniu Władysława Gomółki na stanowisko I sekretarza KC PZPR zdecydowano się na deeskalację sytuacji i uwolniono Prymasa</w:t>
      </w:r>
      <w:r w:rsidR="0005207F" w:rsidRPr="000B051F">
        <w:t>.</w:t>
      </w:r>
      <w:r w:rsidR="000B051F" w:rsidRPr="000B051F">
        <w:t xml:space="preserve"> </w:t>
      </w:r>
      <w:r w:rsidR="000B051F">
        <w:t xml:space="preserve">Analizując akty prawne </w:t>
      </w:r>
      <w:r w:rsidR="00891A4D">
        <w:t xml:space="preserve">wydawane </w:t>
      </w:r>
      <w:r w:rsidR="000B051F">
        <w:t xml:space="preserve">od lat czterdziestych do osiemdziesiątych </w:t>
      </w:r>
      <w:r w:rsidR="008F70C8">
        <w:t xml:space="preserve">natrafiamy na przepisy zdecydowanie ograniczające sprawczość kościołów w sferze społecznej i ekonomicznej. </w:t>
      </w:r>
      <w:r w:rsidR="00EB4B8B">
        <w:t xml:space="preserve">Należy jednak zwrócić uwagę na ustawę z 23 czerwca 1971 r., która dawała kościołom osobowość prawną i stanowiła ustępstwo państwa socjalistycznego. </w:t>
      </w:r>
      <w:r w:rsidR="00EB4B8B">
        <w:rPr>
          <w:rStyle w:val="Odwoanieprzypisudolnego"/>
        </w:rPr>
        <w:footnoteReference w:id="38"/>
      </w:r>
      <w:r w:rsidR="00EB4B8B">
        <w:t xml:space="preserve"> </w:t>
      </w:r>
    </w:p>
    <w:p w:rsidR="00AE06B4" w:rsidRPr="00D57A6E" w:rsidRDefault="00891A4D" w:rsidP="00D57A6E">
      <w:pPr>
        <w:rPr>
          <w:highlight w:val="yellow"/>
        </w:rPr>
      </w:pPr>
      <w:r>
        <w:t xml:space="preserve">Lata czterdzieste i pięćdziesiąte były naznaczone </w:t>
      </w:r>
      <w:r w:rsidR="00605B35">
        <w:t>największą konfrontacją w stosunkach między blokiem socjalistycznym a Watykanem. Znamiona odwilży w</w:t>
      </w:r>
      <w:r w:rsidR="008F70C8">
        <w:t xml:space="preserve"> </w:t>
      </w:r>
      <w:r w:rsidR="00605B35">
        <w:t xml:space="preserve">tym </w:t>
      </w:r>
      <w:r w:rsidR="008F70C8">
        <w:t xml:space="preserve">otoczeniu międzynarodowym </w:t>
      </w:r>
      <w:r w:rsidR="00605B35">
        <w:t xml:space="preserve">możemy zaobserwować </w:t>
      </w:r>
      <w:r w:rsidR="00575B9A">
        <w:t>od</w:t>
      </w:r>
      <w:r w:rsidR="008F5885" w:rsidRPr="008F5885">
        <w:t xml:space="preserve"> lat sześćdziesiątych</w:t>
      </w:r>
      <w:r w:rsidR="00605B35">
        <w:t>, kiedy dochodzi do</w:t>
      </w:r>
      <w:r w:rsidR="008F5885" w:rsidRPr="008F5885">
        <w:t xml:space="preserve"> </w:t>
      </w:r>
      <w:r w:rsidR="00605B35">
        <w:t>swego rodzaju nowego otwarcia we wzajemnych kontaktach</w:t>
      </w:r>
      <w:r w:rsidR="00575B9A">
        <w:t>.</w:t>
      </w:r>
      <w:r w:rsidR="008F5885">
        <w:rPr>
          <w:rStyle w:val="Odwoanieprzypisudolnego"/>
        </w:rPr>
        <w:footnoteReference w:id="39"/>
      </w:r>
      <w:r w:rsidR="008F5885" w:rsidRPr="008F5885">
        <w:t xml:space="preserve">  </w:t>
      </w:r>
      <w:r w:rsidR="00257741">
        <w:t xml:space="preserve">Proces ten </w:t>
      </w:r>
      <w:r w:rsidR="00605B35">
        <w:t xml:space="preserve">dotyczył również Polski i </w:t>
      </w:r>
      <w:r w:rsidR="00257741">
        <w:t xml:space="preserve">miał w założeniu służyć normalizacji i uporządkowaniu stosunków między PRL i Watykanem, a także regulować prawa </w:t>
      </w:r>
      <w:r w:rsidR="00605B35">
        <w:t>K</w:t>
      </w:r>
      <w:r w:rsidR="00257741">
        <w:t xml:space="preserve">ościoła katolickiego, jego hierarchii duchownej i katolików świeckich. </w:t>
      </w:r>
      <w:r w:rsidR="00532615" w:rsidRPr="00532615">
        <w:t xml:space="preserve">6 lipca 1974 r. powołano dwa wspólne  Zespoły do Spraw Roboczych.  </w:t>
      </w:r>
      <w:r w:rsidR="000B2F2B">
        <w:t xml:space="preserve">Jak wspomniano wyżej, państwo wykonało w 1971 r. gest legislacyjny w postaci zatwierdzenia osobowości prawnej kościołów. </w:t>
      </w:r>
      <w:r w:rsidR="00532615">
        <w:t>M</w:t>
      </w:r>
      <w:r w:rsidR="00257741">
        <w:t xml:space="preserve">ożna przyjąć, że </w:t>
      </w:r>
      <w:r w:rsidR="000B2F2B">
        <w:t>oznaczało to</w:t>
      </w:r>
      <w:r w:rsidR="00257741">
        <w:t xml:space="preserve"> wolę </w:t>
      </w:r>
      <w:r w:rsidR="000B2F2B">
        <w:t xml:space="preserve">i zgodę państwa </w:t>
      </w:r>
      <w:r w:rsidR="000B2F2B">
        <w:lastRenderedPageBreak/>
        <w:t>polskiego na wspólne</w:t>
      </w:r>
      <w:r w:rsidR="00257741">
        <w:t xml:space="preserve"> prace ustawodawcze</w:t>
      </w:r>
      <w:r w:rsidR="00D57A6E">
        <w:t>, lub przynajmniej współpracę</w:t>
      </w:r>
      <w:r w:rsidR="00605B35">
        <w:t>. Szansę na długą perspektywę normalizacji we wzajemnych stosunkach dawała tu</w:t>
      </w:r>
      <w:r w:rsidR="006C4354">
        <w:t xml:space="preserve"> </w:t>
      </w:r>
      <w:proofErr w:type="spellStart"/>
      <w:r w:rsidR="006C4354">
        <w:t>koicydencj</w:t>
      </w:r>
      <w:r w:rsidR="00605B35">
        <w:t>a</w:t>
      </w:r>
      <w:proofErr w:type="spellEnd"/>
      <w:r w:rsidR="006C4354">
        <w:t xml:space="preserve"> </w:t>
      </w:r>
      <w:r w:rsidR="00605B35">
        <w:t xml:space="preserve">zmian warunków politycznych </w:t>
      </w:r>
      <w:r w:rsidR="006C4354">
        <w:t>w postaci osłabienia ZSRR i doktryny socjalistycznej</w:t>
      </w:r>
      <w:r w:rsidR="000B2F2B">
        <w:t xml:space="preserve"> w latach osiemdziesiątych</w:t>
      </w:r>
      <w:r w:rsidR="006C4354">
        <w:t xml:space="preserve">. </w:t>
      </w:r>
      <w:r w:rsidR="00257741">
        <w:t xml:space="preserve"> Józef Krukowski pisze o jeszcze jed</w:t>
      </w:r>
      <w:r w:rsidR="000036B7">
        <w:t xml:space="preserve">nym determinancie, który sprzyjał rozwijaniu kontaktów- </w:t>
      </w:r>
      <w:r w:rsidR="00605B35">
        <w:t xml:space="preserve">były nim próby </w:t>
      </w:r>
      <w:r w:rsidR="000036B7">
        <w:t>uzyskani</w:t>
      </w:r>
      <w:r w:rsidR="00605B35">
        <w:t>a</w:t>
      </w:r>
      <w:r w:rsidR="000036B7">
        <w:t xml:space="preserve"> poparcia Watykanu w celu uzyskania pożyczek międzynarodowych</w:t>
      </w:r>
      <w:r w:rsidR="00605B35">
        <w:t xml:space="preserve"> dla zrujnowanej gospodarki PRL</w:t>
      </w:r>
      <w:r w:rsidR="000036B7">
        <w:t>.</w:t>
      </w:r>
      <w:r w:rsidR="00532615">
        <w:rPr>
          <w:rStyle w:val="Odwoanieprzypisudolnego"/>
        </w:rPr>
        <w:footnoteReference w:id="40"/>
      </w:r>
      <w:r w:rsidR="000036B7">
        <w:t xml:space="preserve"> Po wyborze Karola Wojtyły na Stolicę Piotrową wzajemne kontakty zyskały szczególny wymiar, a prócz kontaktów przedstawicieli</w:t>
      </w:r>
      <w:r w:rsidR="00662D90">
        <w:t>- urzędników</w:t>
      </w:r>
      <w:r w:rsidR="000036B7">
        <w:t xml:space="preserve"> doniosłą rolę zaczęły odgrywać bezpośrednie spotkania władz </w:t>
      </w:r>
      <w:r w:rsidR="00662D90">
        <w:t xml:space="preserve">polskich </w:t>
      </w:r>
      <w:r w:rsidR="000036B7">
        <w:t xml:space="preserve">z papieżem podczas pielgrzymek do ojczyzny. </w:t>
      </w:r>
      <w:r w:rsidR="00AF621E">
        <w:t>W retoryce obie strony chętnie powoływały się na format KBWE</w:t>
      </w:r>
      <w:r w:rsidR="00F44DB6">
        <w:t>- kwestie pokoju i praw</w:t>
      </w:r>
      <w:r w:rsidR="00662D90">
        <w:t>a</w:t>
      </w:r>
      <w:r w:rsidR="00F44DB6">
        <w:t xml:space="preserve"> człowieka</w:t>
      </w:r>
      <w:r w:rsidR="00662D90">
        <w:t xml:space="preserve"> oraz</w:t>
      </w:r>
      <w:r w:rsidR="00532615">
        <w:t xml:space="preserve"> </w:t>
      </w:r>
      <w:r w:rsidR="00F44DB6">
        <w:t>współprac</w:t>
      </w:r>
      <w:r w:rsidR="00532615">
        <w:t>y</w:t>
      </w:r>
      <w:r w:rsidR="00F44DB6">
        <w:t xml:space="preserve"> między narodami</w:t>
      </w:r>
      <w:r w:rsidR="00AF621E">
        <w:t xml:space="preserve">. Papież </w:t>
      </w:r>
      <w:r w:rsidR="00662D90">
        <w:t xml:space="preserve">chętnie </w:t>
      </w:r>
      <w:r w:rsidR="00AF621E">
        <w:t>podnosił kwestię gwarancji dla praw człowieka i Kościoła</w:t>
      </w:r>
      <w:r w:rsidR="00662D90">
        <w:t>.</w:t>
      </w:r>
      <w:r w:rsidR="00AF621E">
        <w:rPr>
          <w:rStyle w:val="Odwoanieprzypisudolnego"/>
        </w:rPr>
        <w:footnoteReference w:id="41"/>
      </w:r>
      <w:r w:rsidR="000B2F2B">
        <w:t xml:space="preserve"> </w:t>
      </w:r>
      <w:r w:rsidR="00CB1D3A">
        <w:t xml:space="preserve">Również w pierwszych dniach stanu wojennego Jan Paweł II jako głowa państwa- sygnatariusza Aktu Końcowego Konferencji Bezpieczeństwa i Współpracy w Europie apelował do gen. W. Jaruzelskiego o dialog społeczny. Od 1982 r. trwały prace Zespołu Roboczego do Spraw Legislacyjnych </w:t>
      </w:r>
      <w:r w:rsidR="007D69DB">
        <w:t>nad przygotowaniem dokumentów o wzajemnych relacjach i o stosunku państwa do Kościoła katolickiego.</w:t>
      </w:r>
      <w:r w:rsidR="007D69DB">
        <w:rPr>
          <w:rStyle w:val="Odwoanieprzypisudolnego"/>
        </w:rPr>
        <w:footnoteReference w:id="42"/>
      </w:r>
      <w:r w:rsidR="007D69DB">
        <w:t xml:space="preserve"> </w:t>
      </w:r>
      <w:r w:rsidR="00891A21" w:rsidRPr="000D0FDC">
        <w:rPr>
          <w:highlight w:val="green"/>
        </w:rPr>
        <w:t xml:space="preserve"> </w:t>
      </w:r>
    </w:p>
    <w:p w:rsidR="001B5F6D" w:rsidRDefault="001B5F6D" w:rsidP="00C76081">
      <w:r>
        <w:t xml:space="preserve">Władze przyznawały, że rok 1975 był przełomowy, jeśli chodzi o perspektywę uregulowania kwestii wolności sumienia i wyznania i relacji z kościołami. W tym roku uchwalono </w:t>
      </w:r>
      <w:r w:rsidR="00D57A6E">
        <w:t xml:space="preserve">wspomniany </w:t>
      </w:r>
      <w:r>
        <w:t>Akt Końcowy KBWE, w którym zawarto reguły współpracy i wzajemnych stosunków między podmiotami- uczestnikami formatu KBWE. Znalazły się tam również (Zasada VII) zapisy odnoszące się do konieczności przestrzegania wolności, które uznano za podstawowe. Wśród nich wymieniono „wolność myśli, sumienia, religii i przekonań”.</w:t>
      </w:r>
      <w:r>
        <w:rPr>
          <w:rStyle w:val="Odwoanieprzypisudolnego"/>
        </w:rPr>
        <w:footnoteReference w:id="43"/>
      </w:r>
      <w:r w:rsidR="00B655F8">
        <w:t xml:space="preserve"> </w:t>
      </w:r>
      <w:r w:rsidR="007631CB">
        <w:t xml:space="preserve">Sygnatariuszami dokumentu były, między innymi, państwa Układu Warszawskiego i fakt ten skutkował </w:t>
      </w:r>
      <w:r w:rsidR="00373DE3">
        <w:t xml:space="preserve">tu </w:t>
      </w:r>
      <w:r w:rsidR="007631CB">
        <w:t>ewolucją modelu obrony praw człowieka.</w:t>
      </w:r>
      <w:r w:rsidR="007631CB">
        <w:rPr>
          <w:rStyle w:val="Odwoanieprzypisudolnego"/>
        </w:rPr>
        <w:footnoteReference w:id="44"/>
      </w:r>
      <w:r w:rsidR="007631CB">
        <w:t xml:space="preserve"> System raportów o stanie przestrzegania praw człowieka stał się punktem presji na reżimy socjalistyczne</w:t>
      </w:r>
      <w:r w:rsidR="00C775C1">
        <w:t>. W ruch ten włączył się również Kościół, który stanął w obronie zagrożonych praw i wolności człowieka podczas buntu społecznego w 1976. r. O tym, że presja ruchu praw człowieka</w:t>
      </w:r>
      <w:r w:rsidR="00C76081">
        <w:t xml:space="preserve">, w tym w formacie KBWE i ONZ </w:t>
      </w:r>
      <w:r w:rsidR="00C775C1">
        <w:t xml:space="preserve">rzeczywiście działała w przestrzeni państwa </w:t>
      </w:r>
      <w:r w:rsidR="00C775C1">
        <w:lastRenderedPageBreak/>
        <w:t xml:space="preserve">socjalistycznego </w:t>
      </w:r>
      <w:r w:rsidR="00C76081">
        <w:t xml:space="preserve">może świadczyć podpisanie przez Polskę 3 marca 1977 r. ustanowionego jeszcze 19 grudnia w 1966 r. </w:t>
      </w:r>
      <w:r w:rsidR="00C775C1">
        <w:t>Międzynarodow</w:t>
      </w:r>
      <w:r w:rsidR="00C76081">
        <w:t>ego</w:t>
      </w:r>
      <w:r w:rsidR="00C775C1">
        <w:t xml:space="preserve"> Pakt</w:t>
      </w:r>
      <w:r w:rsidR="00C76081">
        <w:t>u</w:t>
      </w:r>
      <w:r w:rsidR="00C775C1">
        <w:t xml:space="preserve"> Praw </w:t>
      </w:r>
      <w:r w:rsidR="00C76081">
        <w:t>O</w:t>
      </w:r>
      <w:r w:rsidR="00C775C1">
        <w:t xml:space="preserve">bywatelskich i </w:t>
      </w:r>
      <w:r w:rsidR="00C76081">
        <w:t>P</w:t>
      </w:r>
      <w:r w:rsidR="00C775C1">
        <w:t>olitycznych</w:t>
      </w:r>
      <w:r w:rsidR="00C76081">
        <w:t xml:space="preserve">. </w:t>
      </w:r>
      <w:r w:rsidR="00D57A6E">
        <w:t xml:space="preserve">Jak już wspomniano- </w:t>
      </w:r>
      <w:r w:rsidR="00C76081">
        <w:t xml:space="preserve">również </w:t>
      </w:r>
      <w:r w:rsidR="007631CB">
        <w:t>papież Jan Paweł II</w:t>
      </w:r>
      <w:r w:rsidR="00662D90">
        <w:t>,</w:t>
      </w:r>
      <w:r w:rsidR="007631CB">
        <w:t xml:space="preserve"> głowa państwa- sygnatariusza Aktu Końcowego</w:t>
      </w:r>
      <w:r w:rsidR="00662D90">
        <w:t>,</w:t>
      </w:r>
      <w:r w:rsidR="007631CB">
        <w:t xml:space="preserve"> znakomicie wykorzystywał formułę KBWE w rozmowach z władzami Polski</w:t>
      </w:r>
      <w:r w:rsidR="00C775C1">
        <w:t xml:space="preserve">. Wystarczy przywołać tu wypowiedzi papieża na spotkaniach z władzami PRL podczas I </w:t>
      </w:r>
      <w:r w:rsidR="00C76081">
        <w:t xml:space="preserve">(2- 10 czerwca 1979 r.) </w:t>
      </w:r>
      <w:r w:rsidR="00C775C1">
        <w:t xml:space="preserve">i II </w:t>
      </w:r>
      <w:r w:rsidR="00C76081">
        <w:t xml:space="preserve">( 16- 23 czerwca 1983 r.) </w:t>
      </w:r>
      <w:r w:rsidR="00C775C1">
        <w:t>pielgrzym</w:t>
      </w:r>
      <w:r w:rsidR="00C76081">
        <w:t>ek do ojczyzny</w:t>
      </w:r>
      <w:r w:rsidR="00C775C1">
        <w:t xml:space="preserve">, ale także  </w:t>
      </w:r>
      <w:r w:rsidR="00373DE3">
        <w:t>wspomniany już</w:t>
      </w:r>
      <w:r w:rsidR="00C775C1">
        <w:t xml:space="preserve"> </w:t>
      </w:r>
      <w:r w:rsidR="00373DE3">
        <w:t xml:space="preserve">papieski </w:t>
      </w:r>
      <w:r w:rsidR="00C775C1">
        <w:t xml:space="preserve">apel do władz </w:t>
      </w:r>
      <w:r w:rsidR="00373DE3">
        <w:t xml:space="preserve">PRL </w:t>
      </w:r>
      <w:r w:rsidR="00C775C1">
        <w:t>po ogłoszeniu stanu wojennego.</w:t>
      </w:r>
      <w:r>
        <w:rPr>
          <w:rStyle w:val="Odwoanieprzypisudolnego"/>
        </w:rPr>
        <w:footnoteReference w:id="45"/>
      </w:r>
    </w:p>
    <w:p w:rsidR="00AE06B4" w:rsidRDefault="00FE5553" w:rsidP="00C76081">
      <w:r>
        <w:t>O poważnym zwiększeniu roli polityki wyznaniowej w PRL po 1975 r. świadczą również zmiany strukturalne instytucji państwowych odpowiedzialnych za tę politykę. Był to bowiem moment, kiedy zdecydowano się na podwyższeniu rangi szefa Urzędu do Spraw Wyznań</w:t>
      </w:r>
      <w:r w:rsidR="005903A9">
        <w:t>:</w:t>
      </w:r>
      <w:r>
        <w:t xml:space="preserve"> dyrektora zastąpiono Ministrem- członkiem Rady Ministrów.</w:t>
      </w:r>
      <w:r w:rsidR="00C23EFF" w:rsidRPr="00C23EFF">
        <w:t xml:space="preserve"> </w:t>
      </w:r>
      <w:r>
        <w:t xml:space="preserve">Od 1982 r. </w:t>
      </w:r>
      <w:r w:rsidR="00C23EFF" w:rsidRPr="00C23EFF">
        <w:t xml:space="preserve">Urząd otrzymał </w:t>
      </w:r>
      <w:r>
        <w:t xml:space="preserve">również </w:t>
      </w:r>
      <w:r w:rsidR="00C23EFF" w:rsidRPr="00C23EFF">
        <w:t>nowy statut i zadania</w:t>
      </w:r>
      <w:r w:rsidR="005903A9">
        <w:t>-</w:t>
      </w:r>
      <w:r w:rsidR="00C23EFF" w:rsidRPr="00C23EFF">
        <w:t xml:space="preserve"> </w:t>
      </w:r>
      <w:r>
        <w:t>ponosił</w:t>
      </w:r>
      <w:r w:rsidR="00C23EFF" w:rsidRPr="00C23EFF">
        <w:t xml:space="preserve"> odpowiedzialn</w:t>
      </w:r>
      <w:r>
        <w:t>ość</w:t>
      </w:r>
      <w:r w:rsidR="00C23EFF" w:rsidRPr="00C23EFF">
        <w:t xml:space="preserve"> za</w:t>
      </w:r>
      <w:r w:rsidR="005903A9">
        <w:t>:</w:t>
      </w:r>
      <w:r w:rsidR="00C23EFF" w:rsidRPr="00C23EFF">
        <w:t xml:space="preserve"> stosowanie przepisów regulujących stosunek państwa do związków wyznaniowych </w:t>
      </w:r>
      <w:r w:rsidR="004F6B50">
        <w:t>oraz</w:t>
      </w:r>
      <w:r w:rsidR="00C23EFF" w:rsidRPr="00C23EFF">
        <w:t xml:space="preserve"> zasad wolności sumienia i wyznania</w:t>
      </w:r>
      <w:r w:rsidR="004F6B50">
        <w:t>, za</w:t>
      </w:r>
      <w:r w:rsidR="00C23EFF" w:rsidRPr="00C23EFF">
        <w:t xml:space="preserve"> dialog z kościołami i związkami wyznaniowymi, </w:t>
      </w:r>
      <w:r w:rsidR="004F6B50">
        <w:t>m</w:t>
      </w:r>
      <w:r w:rsidR="005903A9">
        <w:t>o</w:t>
      </w:r>
      <w:r w:rsidR="004F6B50">
        <w:t>nitorował</w:t>
      </w:r>
      <w:r w:rsidR="00C23EFF" w:rsidRPr="00C23EFF">
        <w:t xml:space="preserve"> spotkani</w:t>
      </w:r>
      <w:r w:rsidR="004F6B50">
        <w:t>a</w:t>
      </w:r>
      <w:r w:rsidR="00C23EFF" w:rsidRPr="00C23EFF">
        <w:t xml:space="preserve"> Prezesa </w:t>
      </w:r>
      <w:r w:rsidR="005903A9">
        <w:t>R</w:t>
      </w:r>
      <w:r w:rsidR="00C23EFF" w:rsidRPr="00C23EFF">
        <w:t xml:space="preserve">ady Ministrów i Przewodniczącego Rady Państwa z </w:t>
      </w:r>
      <w:r w:rsidR="005903A9">
        <w:t>P</w:t>
      </w:r>
      <w:r w:rsidR="00C23EFF" w:rsidRPr="00C23EFF">
        <w:t>rymasem Polski, pracę Komisji Wspólnej Przedstawicieli Rządu i Episkopat</w:t>
      </w:r>
      <w:r w:rsidR="005903A9">
        <w:t>u</w:t>
      </w:r>
      <w:r w:rsidR="00C23EFF" w:rsidRPr="00C23EFF">
        <w:t>, spotkania wojewodów z biskupami diecezjalnymi, kontakty między kuriami biskupimi i urzędami wojewódzkimi, a także stosunki rządu z Watykan</w:t>
      </w:r>
      <w:r w:rsidR="00E12700">
        <w:t>em</w:t>
      </w:r>
      <w:r w:rsidR="005903A9">
        <w:t>;</w:t>
      </w:r>
      <w:r w:rsidR="00E12700">
        <w:t xml:space="preserve"> wydawał opinie</w:t>
      </w:r>
      <w:r w:rsidR="00C23EFF" w:rsidRPr="00C23EFF">
        <w:t xml:space="preserve"> na wniosek podmiotów administracyjnych</w:t>
      </w:r>
      <w:r w:rsidR="00E12700">
        <w:t xml:space="preserve"> w podległych mu sprawach.</w:t>
      </w:r>
      <w:r w:rsidR="00C23EFF" w:rsidRPr="00C23EFF">
        <w:t xml:space="preserve"> </w:t>
      </w:r>
      <w:r w:rsidR="00E12700">
        <w:t>G</w:t>
      </w:r>
      <w:r w:rsidR="00C23EFF" w:rsidRPr="00C23EFF">
        <w:t>romadził również dokumentacj</w:t>
      </w:r>
      <w:r w:rsidR="005903A9">
        <w:t>ę</w:t>
      </w:r>
      <w:r w:rsidR="00C23EFF" w:rsidRPr="00C23EFF">
        <w:t xml:space="preserve"> na temat działalności kościołów i związków wyznaniowych. Kierownik urzędu w randze Ministra prowadzi</w:t>
      </w:r>
      <w:r w:rsidR="00E12700">
        <w:t>ł</w:t>
      </w:r>
      <w:r w:rsidR="00C23EFF" w:rsidRPr="00C23EFF">
        <w:t xml:space="preserve"> kontrolę urzędów wojewódzkich. </w:t>
      </w:r>
      <w:r w:rsidR="00E12700">
        <w:t>Strukturalnie składał się z</w:t>
      </w:r>
      <w:r w:rsidR="00C23EFF" w:rsidRPr="00C23EFF">
        <w:t xml:space="preserve"> Gabinet</w:t>
      </w:r>
      <w:r w:rsidR="005903A9">
        <w:t>u</w:t>
      </w:r>
      <w:r w:rsidR="00C23EFF" w:rsidRPr="00C23EFF">
        <w:t xml:space="preserve"> Ministra, Zesp</w:t>
      </w:r>
      <w:r w:rsidR="00E12700">
        <w:t>ołu</w:t>
      </w:r>
      <w:r w:rsidR="00C23EFF" w:rsidRPr="00C23EFF">
        <w:t xml:space="preserve"> do Spraw Kościoła Rzymsko-katolickiego, Zesp</w:t>
      </w:r>
      <w:r w:rsidR="00E12700">
        <w:t>ołu</w:t>
      </w:r>
      <w:r w:rsidR="00C23EFF" w:rsidRPr="00C23EFF">
        <w:t xml:space="preserve"> do Spraw Kościołów i Związków Wyznaniowych Nierzymskokatolickich, Zesp</w:t>
      </w:r>
      <w:r w:rsidR="00E12700">
        <w:t>ołu</w:t>
      </w:r>
      <w:r w:rsidR="00C23EFF" w:rsidRPr="00C23EFF">
        <w:t xml:space="preserve"> do </w:t>
      </w:r>
      <w:r w:rsidR="00E12700">
        <w:t>S</w:t>
      </w:r>
      <w:r w:rsidR="00C23EFF" w:rsidRPr="00C23EFF">
        <w:t>praw Stowarzyszeń Wyznaniowych, Zesp</w:t>
      </w:r>
      <w:r w:rsidR="00E12700">
        <w:t>ołu</w:t>
      </w:r>
      <w:r w:rsidR="00C23EFF" w:rsidRPr="00C23EFF">
        <w:t xml:space="preserve"> Studiów i Dokumentacji oraz Biur</w:t>
      </w:r>
      <w:r w:rsidR="00E12700">
        <w:t>a</w:t>
      </w:r>
      <w:r w:rsidR="00C23EFF" w:rsidRPr="00C23EFF">
        <w:t xml:space="preserve"> Prawne</w:t>
      </w:r>
      <w:r w:rsidR="00E12700">
        <w:t>go</w:t>
      </w:r>
      <w:r w:rsidR="00C23EFF" w:rsidRPr="00C23EFF">
        <w:t xml:space="preserve">. Organem opiniotwórczym Ministra </w:t>
      </w:r>
      <w:r w:rsidR="00E12700">
        <w:t>było</w:t>
      </w:r>
      <w:r w:rsidR="00C23EFF" w:rsidRPr="00C23EFF">
        <w:t xml:space="preserve"> Kolegium Urzędu. </w:t>
      </w:r>
      <w:r w:rsidR="00E12700">
        <w:t xml:space="preserve">Przypomnijmy, że </w:t>
      </w:r>
      <w:r w:rsidR="00C23EFF" w:rsidRPr="00C23EFF">
        <w:t xml:space="preserve">Minister dysponował Funduszem Kościelnym utworzonym na mocy ustawy z dnia 20 marca 1950 r.  o przejęciu przez państwo dóbr „martwej ręki”, poręczeniu proboszczom posiadania gospodarstw rolnych i utworzeniu Funduszu Kościelnego. Pochodzące z budżetu państwa środki finansowe były przeznaczane głównie na dotacje budowlane i ochronę konserwatorską obiektów sakralnych i innych, będących w posiadaniu </w:t>
      </w:r>
      <w:r w:rsidR="005903A9">
        <w:lastRenderedPageBreak/>
        <w:t>K</w:t>
      </w:r>
      <w:r w:rsidR="00C23EFF" w:rsidRPr="00C23EFF">
        <w:t xml:space="preserve">ościoła, na wsparcie materialne i medyczne duchownych, oraz na działalność charytatywno-opiekuńczą. </w:t>
      </w:r>
      <w:r w:rsidR="00C23EFF">
        <w:rPr>
          <w:rStyle w:val="Odwoanieprzypisudolnego"/>
        </w:rPr>
        <w:footnoteReference w:id="46"/>
      </w:r>
      <w:r w:rsidR="00C23EFF" w:rsidRPr="00C23EFF">
        <w:t xml:space="preserve"> </w:t>
      </w:r>
    </w:p>
    <w:p w:rsidR="00AB710E" w:rsidRDefault="00526F87" w:rsidP="00D47110">
      <w:r>
        <w:t xml:space="preserve">Jedną z przesłanek, która </w:t>
      </w:r>
      <w:r w:rsidR="000D0FDC">
        <w:t>wymus</w:t>
      </w:r>
      <w:r w:rsidR="00E12700">
        <w:t>zała na władzach partyjno-państwowych</w:t>
      </w:r>
      <w:r>
        <w:t xml:space="preserve"> prace nad ustawą o wolności sumienia i wyznania było pismo Sekretarza </w:t>
      </w:r>
      <w:r w:rsidR="005903A9">
        <w:t>G</w:t>
      </w:r>
      <w:r>
        <w:t xml:space="preserve">eneralnego ONZ </w:t>
      </w:r>
      <w:r w:rsidR="00200E8A">
        <w:t xml:space="preserve">Javiera Pereza de </w:t>
      </w:r>
      <w:proofErr w:type="spellStart"/>
      <w:r w:rsidR="00200E8A">
        <w:t>Cuellara</w:t>
      </w:r>
      <w:proofErr w:type="spellEnd"/>
      <w:r>
        <w:t xml:space="preserve"> datowane na 10 września </w:t>
      </w:r>
      <w:r w:rsidRPr="00E12700">
        <w:t>1983</w:t>
      </w:r>
      <w:r>
        <w:t xml:space="preserve"> r.</w:t>
      </w:r>
      <w:r>
        <w:rPr>
          <w:rStyle w:val="Odwoanieprzypisudolnego"/>
        </w:rPr>
        <w:footnoteReference w:id="47"/>
      </w:r>
      <w:r>
        <w:t xml:space="preserve"> W piśmie tym nawiązywano do rezolucji z 37 sesji Zgromadzenia Ogólnego z 18 grudnia 1982 r. </w:t>
      </w:r>
      <w:r w:rsidR="00D33151">
        <w:t xml:space="preserve">i </w:t>
      </w:r>
      <w:r>
        <w:t>„Deklaracj</w:t>
      </w:r>
      <w:r w:rsidR="00D33151">
        <w:t>i</w:t>
      </w:r>
      <w:r>
        <w:t xml:space="preserve"> o przeciwdziałaniu wszelkim formom nietolerancji religijnej”</w:t>
      </w:r>
      <w:r w:rsidR="005339CC">
        <w:t>,</w:t>
      </w:r>
      <w:r w:rsidR="002C31ED">
        <w:rPr>
          <w:rStyle w:val="Odwoanieprzypisudolnego"/>
        </w:rPr>
        <w:footnoteReference w:id="48"/>
      </w:r>
      <w:r w:rsidR="005339CC">
        <w:t xml:space="preserve"> która potwierdzała podobne zapisy rezolucji 36/55 z 25 listopada 1981 r. Deklarację tę opracowano na podstawie decyzji Rady Społeczno-Ekonomicznej 1982/138 z 7 maja 1982 r., która to Rada zobowiązywała Sekretarza Generalnego ONZ do jej rozpowszechnienia z prawem pierwszeństwa. Adresatami dokumentu były rządy państw. W sprawie tej współpracowano również Z Komisją Praw Człowieka. </w:t>
      </w:r>
      <w:r w:rsidR="005339CC">
        <w:rPr>
          <w:rStyle w:val="Odwoanieprzypisudolnego"/>
        </w:rPr>
        <w:footnoteReference w:id="49"/>
      </w:r>
      <w:r w:rsidR="005339CC">
        <w:t xml:space="preserve"> </w:t>
      </w:r>
      <w:r w:rsidR="00627144">
        <w:t>W Deklaracji zwracano uwagę</w:t>
      </w:r>
      <w:r w:rsidR="00D33151">
        <w:t>,</w:t>
      </w:r>
      <w:r w:rsidR="00627144">
        <w:t xml:space="preserve"> iż jej zapisy są zgodne z Powszechną Deklaracją Praw Człowieka i Międzynarodowymi Konwencjami Praw Człowieka, oraz, że nietolerancja i prześladowania religijne są bezpośrednią przyczyną konfliktów i bywają podstawą ingerencji państw trzecich w politykę państw. Potwierdzano w niej również niezbędność gwarancji dla praw religijnych. </w:t>
      </w:r>
      <w:r w:rsidR="00975B4D">
        <w:t xml:space="preserve">Zwracano </w:t>
      </w:r>
      <w:r w:rsidR="005903A9">
        <w:t>też</w:t>
      </w:r>
      <w:r w:rsidR="00975B4D">
        <w:t xml:space="preserve"> uwagę na </w:t>
      </w:r>
      <w:proofErr w:type="spellStart"/>
      <w:r w:rsidR="00975B4D">
        <w:t>koicydencj</w:t>
      </w:r>
      <w:r w:rsidR="005903A9">
        <w:t>ę</w:t>
      </w:r>
      <w:proofErr w:type="spellEnd"/>
      <w:r w:rsidR="00975B4D">
        <w:t xml:space="preserve"> zjawiska wolności religijnej z „ pokojem na świecie, sprawiedliwością społeczną i przyjaźnią między narodami”, ale również zwalczaniem kolonializmu i dyskryminacji rasowej. </w:t>
      </w:r>
      <w:r w:rsidR="00975B4D">
        <w:rPr>
          <w:rStyle w:val="Odwoanieprzypisudolnego"/>
        </w:rPr>
        <w:footnoteReference w:id="50"/>
      </w:r>
    </w:p>
    <w:p w:rsidR="002147F0" w:rsidRDefault="002C31ED" w:rsidP="002A7904">
      <w:r>
        <w:t>W art. 6 podano propozycje obszarów, które powinny podlegać ochronie regulacyjne</w:t>
      </w:r>
      <w:r w:rsidR="005903A9">
        <w:t>j</w:t>
      </w:r>
      <w:r>
        <w:t>. Były to praw</w:t>
      </w:r>
      <w:r w:rsidR="005903A9">
        <w:t>a:</w:t>
      </w:r>
      <w:r>
        <w:t xml:space="preserve"> do</w:t>
      </w:r>
      <w:r w:rsidR="005903A9">
        <w:t xml:space="preserve"> </w:t>
      </w:r>
      <w:r>
        <w:t>modlitwy i zgromadzeń religijnych, oraz wykorzystywania i utrzymywania miejsc dla tych celów przeznaczonych,</w:t>
      </w:r>
      <w:r w:rsidR="002A7904">
        <w:t xml:space="preserve"> </w:t>
      </w:r>
      <w:r>
        <w:t>do ustanawiania i utrzymywania odpowiednich charytatywnych czy humanitarnych instytucji, do tworzenia, przyjmowania i korzystania</w:t>
      </w:r>
      <w:r w:rsidR="005903A9">
        <w:t xml:space="preserve"> z</w:t>
      </w:r>
      <w:r>
        <w:t xml:space="preserve"> </w:t>
      </w:r>
      <w:r w:rsidR="002147F0">
        <w:t>niezbędnych artykułów i materiałów dotyczących obrzędów i zwyczajów religijnych,</w:t>
      </w:r>
      <w:r w:rsidR="002A7904">
        <w:t xml:space="preserve"> </w:t>
      </w:r>
      <w:r w:rsidR="002147F0">
        <w:t>do pisania, wydawania i rozpowszechniania odpowiednich publikacji w tej dziedzinie, do nauczania religii w miejscach do tego przeznaczonych,</w:t>
      </w:r>
      <w:r w:rsidR="002A7904">
        <w:t xml:space="preserve"> </w:t>
      </w:r>
      <w:r w:rsidR="002147F0">
        <w:t>do ubiegania się o dobrowolne fundacje ze strony instytucji i osób indywidualnych i korzystania z nich, do szkolenia, mianowania, wyboru odpowiednich pr</w:t>
      </w:r>
      <w:r w:rsidR="008D2C87">
        <w:t>zywódców zgodnie z wymaganiami</w:t>
      </w:r>
      <w:r w:rsidR="002147F0">
        <w:t xml:space="preserve"> danej religii, do przestrzegania dni wypoczynku, świąt i sposobów ich obchodzenia, zgodnie z zasadami danej religii,</w:t>
      </w:r>
      <w:r w:rsidR="002A7904">
        <w:t xml:space="preserve"> </w:t>
      </w:r>
      <w:r w:rsidR="002147F0">
        <w:t xml:space="preserve">do </w:t>
      </w:r>
      <w:r w:rsidR="002147F0">
        <w:lastRenderedPageBreak/>
        <w:t>nawiązywania i utrzymania kontaktów z osobami indywidualnymi i społecznościami w kwestiach religijnych na terenie kraju i na szczeblu międzynarodowym.”</w:t>
      </w:r>
      <w:r w:rsidR="002147F0">
        <w:rPr>
          <w:rStyle w:val="Odwoanieprzypisudolnego"/>
        </w:rPr>
        <w:footnoteReference w:id="51"/>
      </w:r>
      <w:r w:rsidR="00E12700">
        <w:t xml:space="preserve"> Podobne zalecenia o konieczności przyjęcia regulacji ustawowych dla gwarancji wolności i praw człowieka zawierała konwencja UNESCO </w:t>
      </w:r>
      <w:r w:rsidR="005903A9">
        <w:t>„P</w:t>
      </w:r>
      <w:r w:rsidR="00E12700">
        <w:t>rzeciwko dyskryminacji w edukacji</w:t>
      </w:r>
      <w:r w:rsidR="005903A9">
        <w:t>”</w:t>
      </w:r>
      <w:r w:rsidR="00E12700">
        <w:t xml:space="preserve"> z 14 grudnia 1960 r., a która </w:t>
      </w:r>
      <w:r w:rsidR="00EA6ACE">
        <w:t>nakładała też na państwa obowiązek raportowania „o środkach ustawodawczych, administracyjnych i innych podjętych (…) dla realizacji niniejszej Konwencji” Konferencji Generalnej ONZ dla Wychowania, Nauki i Kultury”.</w:t>
      </w:r>
      <w:r w:rsidR="00EA6ACE">
        <w:rPr>
          <w:rStyle w:val="Odwoanieprzypisudolnego"/>
        </w:rPr>
        <w:footnoteReference w:id="52"/>
      </w:r>
    </w:p>
    <w:p w:rsidR="000A208C" w:rsidRDefault="000A208C" w:rsidP="002A7904">
      <w:r w:rsidRPr="000A208C">
        <w:t xml:space="preserve">Wydaje się pewne, że </w:t>
      </w:r>
      <w:r w:rsidR="00E455AB">
        <w:t>zalecenia ONZ i UNESCO nie były czynnikami decydującymi</w:t>
      </w:r>
      <w:r w:rsidRPr="000A208C">
        <w:t xml:space="preserve"> dla prac nad </w:t>
      </w:r>
      <w:r w:rsidR="00E455AB">
        <w:t xml:space="preserve">polską </w:t>
      </w:r>
      <w:r w:rsidRPr="000A208C">
        <w:t>ustaw</w:t>
      </w:r>
      <w:r w:rsidR="00E455AB">
        <w:t>ą</w:t>
      </w:r>
      <w:r w:rsidRPr="000A208C">
        <w:t xml:space="preserve"> o realizacji wolności sumienia i wyznani</w:t>
      </w:r>
      <w:r w:rsidR="00E455AB">
        <w:t>a</w:t>
      </w:r>
      <w:r w:rsidRPr="000A208C">
        <w:t xml:space="preserve">, ponieważ zwłoka w pracach legislacyjnych </w:t>
      </w:r>
      <w:r w:rsidR="005903A9">
        <w:t>była</w:t>
      </w:r>
      <w:r w:rsidRPr="000A208C">
        <w:t xml:space="preserve"> zbyt duża</w:t>
      </w:r>
      <w:r w:rsidR="00E455AB">
        <w:t xml:space="preserve">- podjęto je </w:t>
      </w:r>
      <w:r w:rsidR="00355214">
        <w:t xml:space="preserve">dopiero </w:t>
      </w:r>
      <w:r w:rsidR="00E455AB">
        <w:t>w</w:t>
      </w:r>
      <w:r w:rsidRPr="000A208C">
        <w:t xml:space="preserve"> 1988 r. </w:t>
      </w:r>
      <w:r w:rsidR="00E455AB">
        <w:t>S</w:t>
      </w:r>
      <w:r w:rsidRPr="000A208C">
        <w:t>ame uwarunkowania prac</w:t>
      </w:r>
      <w:r w:rsidR="00E455AB">
        <w:t xml:space="preserve"> były </w:t>
      </w:r>
      <w:r w:rsidRPr="000A208C">
        <w:t xml:space="preserve"> skomplikowane. W tym czasie trwały trudne rozmowy z Watykanem na temat stosunków dwustronnych, a w Polsce dopiero zniesiono stan wojenny (22 lipca 1983 r.)</w:t>
      </w:r>
      <w:r w:rsidR="00E455AB">
        <w:t xml:space="preserve">. W 1984 r. służby bezpieczeństwa uprowadziły i zamordowały ks. Jerzego Popiełuszkę. </w:t>
      </w:r>
      <w:r w:rsidRPr="000A208C">
        <w:t xml:space="preserve"> Niemniej jednak</w:t>
      </w:r>
      <w:r>
        <w:t>,</w:t>
      </w:r>
      <w:r w:rsidRPr="000A208C">
        <w:t xml:space="preserve"> </w:t>
      </w:r>
      <w:r>
        <w:t>c</w:t>
      </w:r>
      <w:r w:rsidRPr="000A208C">
        <w:t>o ważne dla naszych rozważań</w:t>
      </w:r>
      <w:r>
        <w:t>,</w:t>
      </w:r>
      <w:r w:rsidRPr="000A208C">
        <w:t xml:space="preserve"> w art. 4 ust. 2 zobowiązano rządy państw do wdrożenia odpowiednich przepisów prawnych w formie ustawy. </w:t>
      </w:r>
      <w:r>
        <w:rPr>
          <w:rStyle w:val="Odwoanieprzypisudolnego"/>
        </w:rPr>
        <w:footnoteReference w:id="53"/>
      </w:r>
      <w:r>
        <w:t xml:space="preserve"> </w:t>
      </w:r>
    </w:p>
    <w:p w:rsidR="00BC608F" w:rsidRDefault="00BB5E06" w:rsidP="00355214">
      <w:r>
        <w:t xml:space="preserve">28 września 1984 r. strona polska otrzymała </w:t>
      </w:r>
      <w:r w:rsidR="002A7904">
        <w:t xml:space="preserve">kolejną </w:t>
      </w:r>
      <w:r>
        <w:t xml:space="preserve">notę Sekretarza </w:t>
      </w:r>
      <w:r w:rsidR="002A7904">
        <w:t>G</w:t>
      </w:r>
      <w:r>
        <w:t xml:space="preserve">eneralnego ONZ wraz z ankietą na temat stosowania wyżej wymienionej Deklaracji </w:t>
      </w:r>
      <w:r w:rsidR="00D33151">
        <w:t xml:space="preserve">oraz </w:t>
      </w:r>
      <w:r>
        <w:t>w sprawie eliminacji wszelkich form nietolerancji i dyskryminacji religii lub przekonań. W odpowiedzi rząd polski przekonywał o pełnej komp</w:t>
      </w:r>
      <w:r w:rsidR="004C7F18">
        <w:t xml:space="preserve">atybilności prawa w Polsce z zaleceniami ONZ. Powoływano się na </w:t>
      </w:r>
      <w:r w:rsidR="004C7F18" w:rsidRPr="00075799">
        <w:t>art. 67, ust.2, 81 i 82</w:t>
      </w:r>
      <w:r w:rsidR="004C7F18">
        <w:t xml:space="preserve"> Konstytucji, która gwarantowała równe prawa wszystkim </w:t>
      </w:r>
      <w:r w:rsidR="004C7F18" w:rsidRPr="00075799">
        <w:t>obywatelom</w:t>
      </w:r>
      <w:r w:rsidR="004C7F18">
        <w:t xml:space="preserve"> bez względu na płeć, urodzenie, wykształcenie, zawód, narodowość, rasę, wyznanie oraz pochodzenie i położenie społeczne pod sankcją kary. Podobnie </w:t>
      </w:r>
      <w:r w:rsidR="002A7904">
        <w:t xml:space="preserve">wskazywano na </w:t>
      </w:r>
      <w:r w:rsidR="004C7F18">
        <w:t>zakaz</w:t>
      </w:r>
      <w:r w:rsidR="00B86CF8">
        <w:t xml:space="preserve"> szerzeni</w:t>
      </w:r>
      <w:r w:rsidR="002A7904">
        <w:t>a</w:t>
      </w:r>
      <w:r w:rsidR="00B86CF8">
        <w:t xml:space="preserve"> nienawi</w:t>
      </w:r>
      <w:r w:rsidR="004C7F18">
        <w:t>ści i pogardy, wywoływani</w:t>
      </w:r>
      <w:r w:rsidR="002A7904">
        <w:t>a</w:t>
      </w:r>
      <w:r w:rsidR="004C7F18">
        <w:t xml:space="preserve"> waśni </w:t>
      </w:r>
      <w:r w:rsidR="002A7904">
        <w:t>lub</w:t>
      </w:r>
      <w:r w:rsidR="004C7F18">
        <w:t xml:space="preserve"> poniżani</w:t>
      </w:r>
      <w:r w:rsidR="002A7904">
        <w:t>a</w:t>
      </w:r>
      <w:r w:rsidR="004C7F18">
        <w:t xml:space="preserve"> </w:t>
      </w:r>
      <w:r w:rsidR="004C7F18" w:rsidRPr="00075799">
        <w:t>człowieka</w:t>
      </w:r>
      <w:r w:rsidR="004C7F18">
        <w:t xml:space="preserve"> ze względu na różnice narodowości i rasy czy wyznania. </w:t>
      </w:r>
      <w:r w:rsidR="004C7F18">
        <w:rPr>
          <w:rStyle w:val="Odwoanieprzypisudolnego"/>
        </w:rPr>
        <w:footnoteReference w:id="54"/>
      </w:r>
      <w:r w:rsidR="004C7F18">
        <w:t xml:space="preserve">  </w:t>
      </w:r>
      <w:r w:rsidR="004044F8">
        <w:t xml:space="preserve">Podkreślano </w:t>
      </w:r>
      <w:r w:rsidR="002A7904">
        <w:t xml:space="preserve">obowiązującą </w:t>
      </w:r>
      <w:r w:rsidR="004044F8">
        <w:t>zasadę rozdziału kościołów od państwa. Zaznaczano,  że brak uregulowania sytuacji prawnej związku wyznaniowego nie ogranicza obywateli w ich prawach</w:t>
      </w:r>
      <w:r w:rsidR="00E455AB">
        <w:t xml:space="preserve"> powołując się na</w:t>
      </w:r>
      <w:r w:rsidR="004044F8">
        <w:t xml:space="preserve"> wyrok Naczelnego Sądu Administracyjnego z dnia 13 stycznia 1984 r</w:t>
      </w:r>
      <w:r w:rsidR="004044F8" w:rsidRPr="00355214">
        <w:t>., SA/</w:t>
      </w:r>
      <w:proofErr w:type="spellStart"/>
      <w:r w:rsidR="004044F8" w:rsidRPr="00355214">
        <w:t>Wr</w:t>
      </w:r>
      <w:proofErr w:type="spellEnd"/>
      <w:r w:rsidR="004044F8" w:rsidRPr="00355214">
        <w:t>/701/83/.</w:t>
      </w:r>
      <w:r w:rsidR="004044F8">
        <w:rPr>
          <w:rStyle w:val="Odwoanieprzypisudolnego"/>
        </w:rPr>
        <w:footnoteReference w:id="55"/>
      </w:r>
      <w:r w:rsidR="004044F8">
        <w:t xml:space="preserve"> </w:t>
      </w:r>
      <w:r w:rsidR="002A7904">
        <w:t xml:space="preserve">Informowano, iż </w:t>
      </w:r>
      <w:r w:rsidR="002A7904">
        <w:lastRenderedPageBreak/>
        <w:t>z</w:t>
      </w:r>
      <w:r w:rsidR="004044F8">
        <w:t xml:space="preserve">gromadzenia religijne podlegają ustawie z 29 marca </w:t>
      </w:r>
      <w:r w:rsidR="004044F8" w:rsidRPr="00075799">
        <w:t>1962</w:t>
      </w:r>
      <w:r w:rsidR="004044F8">
        <w:t xml:space="preserve"> r. o zgr</w:t>
      </w:r>
      <w:r w:rsidR="00CB470C">
        <w:t>omadzeniach</w:t>
      </w:r>
      <w:r w:rsidR="00075799">
        <w:t>.</w:t>
      </w:r>
      <w:r w:rsidR="00CB470C" w:rsidRPr="00075799">
        <w:rPr>
          <w:rStyle w:val="Odwoanieprzypisudolnego"/>
        </w:rPr>
        <w:footnoteReference w:id="56"/>
      </w:r>
      <w:r w:rsidR="00355214">
        <w:t xml:space="preserve"> </w:t>
      </w:r>
      <w:r w:rsidR="00075799">
        <w:t>Przekonywano, iż w</w:t>
      </w:r>
      <w:r w:rsidR="00CB470C" w:rsidRPr="00075799">
        <w:t>olność sumienia i wyznania w systemie polskiego prawa cywilnego zaliczan</w:t>
      </w:r>
      <w:r w:rsidR="00355214">
        <w:t>e</w:t>
      </w:r>
      <w:r w:rsidR="00CB470C" w:rsidRPr="00075799">
        <w:t xml:space="preserve"> </w:t>
      </w:r>
      <w:r w:rsidR="00355214">
        <w:t>są</w:t>
      </w:r>
      <w:r w:rsidR="00CB470C" w:rsidRPr="00075799">
        <w:t xml:space="preserve"> do dóbr osobistych człowieka i pozostaj</w:t>
      </w:r>
      <w:r w:rsidR="00355214">
        <w:t>ą</w:t>
      </w:r>
      <w:r w:rsidR="00CB470C" w:rsidRPr="00075799">
        <w:t xml:space="preserve"> pod ochroną prawa cywilnego </w:t>
      </w:r>
      <w:r w:rsidR="00075799" w:rsidRPr="00075799">
        <w:t xml:space="preserve"> zgodnie z </w:t>
      </w:r>
      <w:r w:rsidR="00CB470C" w:rsidRPr="00075799">
        <w:t>art. 23 i 24 Konstytucji</w:t>
      </w:r>
      <w:r w:rsidR="00BC608F">
        <w:t xml:space="preserve"> PRL,</w:t>
      </w:r>
      <w:r w:rsidR="00CB470C" w:rsidRPr="00075799">
        <w:rPr>
          <w:rStyle w:val="Odwoanieprzypisudolnego"/>
        </w:rPr>
        <w:footnoteReference w:id="57"/>
      </w:r>
      <w:r w:rsidR="002D3ED5">
        <w:t xml:space="preserve"> </w:t>
      </w:r>
      <w:r w:rsidR="00BC608F">
        <w:t>a n</w:t>
      </w:r>
      <w:r w:rsidR="002D3ED5">
        <w:t>aru</w:t>
      </w:r>
      <w:r w:rsidR="00B86CF8">
        <w:t>szanie gwarantowanej Konstytucj</w:t>
      </w:r>
      <w:r w:rsidR="002D3ED5">
        <w:t>ą PRL wolności sumienia i wyznania</w:t>
      </w:r>
      <w:r w:rsidR="00BC608F">
        <w:t xml:space="preserve"> </w:t>
      </w:r>
      <w:r w:rsidR="002D3ED5">
        <w:t>jest</w:t>
      </w:r>
      <w:r w:rsidR="00BC608F">
        <w:t>,</w:t>
      </w:r>
      <w:r w:rsidR="002D3ED5">
        <w:t xml:space="preserve"> zgodne z polskim prawem karnym, przestępstwem przeciwko wolności sumienia i wyznania</w:t>
      </w:r>
      <w:r w:rsidR="00BC608F">
        <w:t xml:space="preserve"> (</w:t>
      </w:r>
      <w:r w:rsidR="002D3ED5">
        <w:t xml:space="preserve">art. 192-198 </w:t>
      </w:r>
      <w:r w:rsidR="00E455AB">
        <w:t>K</w:t>
      </w:r>
      <w:r w:rsidR="002D3ED5">
        <w:t>odeksu karnego</w:t>
      </w:r>
      <w:r w:rsidR="00BC608F">
        <w:t>)</w:t>
      </w:r>
      <w:r w:rsidR="002D3ED5">
        <w:t xml:space="preserve">. </w:t>
      </w:r>
      <w:r w:rsidR="00BC608F">
        <w:t xml:space="preserve">Powoływano się na </w:t>
      </w:r>
      <w:r w:rsidR="002D3ED5">
        <w:t>Polski Kodeks rodzinny i opiekuńczy</w:t>
      </w:r>
      <w:r w:rsidR="00BC608F">
        <w:t>, który</w:t>
      </w:r>
      <w:r w:rsidR="002D3ED5">
        <w:t xml:space="preserve"> w art. 92-113, gwarant</w:t>
      </w:r>
      <w:r w:rsidR="00BC608F">
        <w:t>ował</w:t>
      </w:r>
      <w:r w:rsidR="002D3ED5">
        <w:t xml:space="preserve"> prawo do wychowania dzieci zgodnie z własnymi przekonaniami rodziców/opiekunów prawnych. </w:t>
      </w:r>
      <w:r w:rsidR="002D3ED5">
        <w:rPr>
          <w:rStyle w:val="Odwoanieprzypisudolnego"/>
        </w:rPr>
        <w:footnoteReference w:id="58"/>
      </w:r>
    </w:p>
    <w:p w:rsidR="0083030C" w:rsidRDefault="00E455AB" w:rsidP="004B2F85">
      <w:r>
        <w:t xml:space="preserve">W latach 80-tych </w:t>
      </w:r>
      <w:r w:rsidR="004B2F85">
        <w:t>p</w:t>
      </w:r>
      <w:r w:rsidR="00242D36">
        <w:t xml:space="preserve">odstawą aktywności regulacyjnej państwa </w:t>
      </w:r>
      <w:r w:rsidR="00070E2C">
        <w:t xml:space="preserve">po zniesieniu stanu wojennego </w:t>
      </w:r>
      <w:r w:rsidR="00242D36">
        <w:t>były „Wytyczne polityki wyznaniowej</w:t>
      </w:r>
      <w:r w:rsidR="00070E2C">
        <w:t>”</w:t>
      </w:r>
      <w:r w:rsidR="00242D36">
        <w:t xml:space="preserve"> sformułowane na X Zjeździe PZPR</w:t>
      </w:r>
      <w:r w:rsidR="00070E2C">
        <w:t xml:space="preserve">  (</w:t>
      </w:r>
      <w:r w:rsidR="00242D36">
        <w:t>29 czerw</w:t>
      </w:r>
      <w:r w:rsidR="00070E2C">
        <w:t>ca</w:t>
      </w:r>
      <w:r w:rsidR="00242D36">
        <w:t xml:space="preserve"> </w:t>
      </w:r>
      <w:r w:rsidR="00070E2C">
        <w:t>-</w:t>
      </w:r>
      <w:r w:rsidR="00242D36">
        <w:t xml:space="preserve"> 4 lipca 1986 r.</w:t>
      </w:r>
      <w:r w:rsidR="00070E2C">
        <w:t>)</w:t>
      </w:r>
      <w:r w:rsidR="004B2F85">
        <w:t>.</w:t>
      </w:r>
      <w:r w:rsidR="00242D36">
        <w:t xml:space="preserve"> Priorytet</w:t>
      </w:r>
      <w:r w:rsidR="00BC608F">
        <w:t xml:space="preserve">y polityki zostały zawarte w </w:t>
      </w:r>
      <w:r w:rsidR="00242D36">
        <w:t xml:space="preserve"> refera</w:t>
      </w:r>
      <w:r w:rsidR="00BC608F">
        <w:t>cie</w:t>
      </w:r>
      <w:r w:rsidR="00242D36">
        <w:t xml:space="preserve"> I Sekretarza Komitetu Centralnego Wojciecha Jaruzelskiego: „</w:t>
      </w:r>
      <w:r w:rsidR="00242D36" w:rsidRPr="00355214">
        <w:t>Zadania Partii w socjalistycznym rozwoju i umacnianiu PRL”.</w:t>
      </w:r>
      <w:r w:rsidR="00242D36">
        <w:t xml:space="preserve"> </w:t>
      </w:r>
      <w:r w:rsidR="00666833">
        <w:t xml:space="preserve">W. Jaruzelski  skupił się w nim na </w:t>
      </w:r>
      <w:r w:rsidR="004B2F85">
        <w:t>socjalistyczn</w:t>
      </w:r>
      <w:r w:rsidR="00355214">
        <w:t>ej</w:t>
      </w:r>
      <w:r w:rsidR="004B2F85">
        <w:t xml:space="preserve"> perspektyw</w:t>
      </w:r>
      <w:r w:rsidR="00355214">
        <w:t>ie</w:t>
      </w:r>
      <w:r w:rsidR="004B2F85">
        <w:t xml:space="preserve"> </w:t>
      </w:r>
      <w:r w:rsidR="00666833">
        <w:t>relacj</w:t>
      </w:r>
      <w:r w:rsidR="004B2F85">
        <w:t>i</w:t>
      </w:r>
      <w:r w:rsidR="00666833">
        <w:t xml:space="preserve"> państwo- </w:t>
      </w:r>
      <w:r w:rsidR="00BC608F">
        <w:t>K</w:t>
      </w:r>
      <w:r w:rsidR="00666833">
        <w:t xml:space="preserve">ościół katolicki, oceniając ten ostatni jako instytucję konserwatywną. W istocie maniera narracyjna, którą obowiązywała jako norma komunikacyjna w sferach partyjno-rządowych ujawniała przestarzałą logikę i frazesowy charakter dowodu I sekretarza. </w:t>
      </w:r>
      <w:r w:rsidR="00070E2C">
        <w:t>W wystąpieniu p</w:t>
      </w:r>
      <w:r w:rsidR="00666833">
        <w:t>rzywoła</w:t>
      </w:r>
      <w:r w:rsidR="00070E2C">
        <w:t>ne zostały poglądy</w:t>
      </w:r>
      <w:r w:rsidR="00666833">
        <w:t xml:space="preserve"> Jul</w:t>
      </w:r>
      <w:r w:rsidR="001A7E53">
        <w:t>i</w:t>
      </w:r>
      <w:r w:rsidR="00666833">
        <w:t>ana Marchlewskiego</w:t>
      </w:r>
      <w:r w:rsidR="00070E2C">
        <w:t xml:space="preserve"> i </w:t>
      </w:r>
      <w:r w:rsidR="00666833">
        <w:t xml:space="preserve"> </w:t>
      </w:r>
      <w:r w:rsidR="00666833" w:rsidRPr="00355214">
        <w:t>dogma</w:t>
      </w:r>
      <w:r w:rsidR="00070E2C" w:rsidRPr="00355214">
        <w:t>t</w:t>
      </w:r>
      <w:r w:rsidR="00666833" w:rsidRPr="00355214">
        <w:t xml:space="preserve"> postępu.</w:t>
      </w:r>
      <w:r w:rsidR="00666833">
        <w:t xml:space="preserve">  </w:t>
      </w:r>
    </w:p>
    <w:p w:rsidR="0083030C" w:rsidRDefault="00355214" w:rsidP="0083030C">
      <w:r>
        <w:t>W wystąpieniu</w:t>
      </w:r>
      <w:r w:rsidR="0083030C">
        <w:t xml:space="preserve"> pojawi</w:t>
      </w:r>
      <w:r>
        <w:t>ł</w:t>
      </w:r>
      <w:r w:rsidR="0083030C">
        <w:t xml:space="preserve"> się argument za wykorzystaniem wzorców religii ku „motywacji dla godnej postawy obywatelskiej” . </w:t>
      </w:r>
      <w:r w:rsidR="0083030C">
        <w:rPr>
          <w:rStyle w:val="Odwoanieprzypisudolnego"/>
        </w:rPr>
        <w:footnoteReference w:id="59"/>
      </w:r>
      <w:r w:rsidR="004C4808">
        <w:t xml:space="preserve"> Przy czym model społeczny uwzględniający oddzielenie Kościoła od państwa, gwarancje dla wolności sumienia i wyznania, równość praw obywateli bez względu na stosunek do religii uznane zostało za „wielkie humanistyczne </w:t>
      </w:r>
      <w:r w:rsidR="001A7E53">
        <w:t>(</w:t>
      </w:r>
      <w:r w:rsidR="004C4808">
        <w:t>….</w:t>
      </w:r>
      <w:r w:rsidR="001A7E53">
        <w:t xml:space="preserve">) </w:t>
      </w:r>
      <w:r w:rsidR="004C4808">
        <w:t xml:space="preserve">osiągnięcie Polski Ludowej”. </w:t>
      </w:r>
      <w:r w:rsidR="004C4808">
        <w:rPr>
          <w:rStyle w:val="Odwoanieprzypisudolnego"/>
        </w:rPr>
        <w:footnoteReference w:id="60"/>
      </w:r>
      <w:r w:rsidR="001A7E53">
        <w:t xml:space="preserve"> W imieniu Komitetu Centralnego W. Jaruzelski wsparł działania na rzecz dalszej współpracy </w:t>
      </w:r>
      <w:r w:rsidR="00D33151">
        <w:t xml:space="preserve">z </w:t>
      </w:r>
      <w:r w:rsidR="001A7E53">
        <w:t>Kościoł</w:t>
      </w:r>
      <w:r w:rsidR="00D33151">
        <w:t>em</w:t>
      </w:r>
      <w:r w:rsidR="001A7E53">
        <w:t xml:space="preserve">, przy jednoczesnym oczekiwaniu, że zostaną poszanowane: konstytucja i „racja stanu socjalistycznego państwa”. </w:t>
      </w:r>
      <w:r w:rsidR="001A7E53">
        <w:rPr>
          <w:rStyle w:val="Odwoanieprzypisudolnego"/>
        </w:rPr>
        <w:footnoteReference w:id="61"/>
      </w:r>
    </w:p>
    <w:p w:rsidR="001A7E53" w:rsidRDefault="001A7E53" w:rsidP="0083030C">
      <w:r>
        <w:t xml:space="preserve">W programie PZPR uchwalonym prze X Zjazd PZPR w lipcu 1986 r. wolność sumienia i wyznania, ale również oddzielenie kościołów od państwa uznano za nienaruszalną podstawę polityki wyznaniowej. </w:t>
      </w:r>
      <w:r>
        <w:rPr>
          <w:rStyle w:val="Odwoanieprzypisudolnego"/>
        </w:rPr>
        <w:footnoteReference w:id="62"/>
      </w:r>
      <w:r w:rsidR="000D0A99">
        <w:t xml:space="preserve"> Jednocześnie zdecydowanie wyznaczono granice tolerancji tych wolności ze strony państwa i świeckiego charakteru jego instytucji. </w:t>
      </w:r>
      <w:r w:rsidR="004B2F85">
        <w:t>Opowiedziano się p</w:t>
      </w:r>
      <w:r w:rsidR="000D0A99">
        <w:t xml:space="preserve">rzeciw </w:t>
      </w:r>
      <w:r w:rsidR="000D0A99">
        <w:lastRenderedPageBreak/>
        <w:t>„nadużywani</w:t>
      </w:r>
      <w:r w:rsidR="004B2F85">
        <w:t>u</w:t>
      </w:r>
      <w:r w:rsidR="000D0A99">
        <w:t xml:space="preserve"> przejawów życia religijnego</w:t>
      </w:r>
      <w:r w:rsidR="004B2F85">
        <w:t xml:space="preserve">” </w:t>
      </w:r>
      <w:r w:rsidR="000D0A99">
        <w:t xml:space="preserve">i „próbom klerykalizacji”, rozumianej zapewne jako zaangażowanie  hierarchii kościelnej w sprawy społeczne i polityczne. Zaznaczono przy tym, iż współpraca z </w:t>
      </w:r>
      <w:r w:rsidR="00BC608F">
        <w:t>K</w:t>
      </w:r>
      <w:r w:rsidR="000D0A99">
        <w:t>ościołem katolickim i innymi związkami powinna być kontynuowana, oraz, że jest ona konieczna</w:t>
      </w:r>
      <w:r w:rsidR="00853573">
        <w:t xml:space="preserve"> dla „żywotnych interesów całego </w:t>
      </w:r>
      <w:r w:rsidR="00853573" w:rsidRPr="00355214">
        <w:t>narodu”</w:t>
      </w:r>
      <w:r w:rsidR="00C20D54" w:rsidRPr="00355214">
        <w:t>.</w:t>
      </w:r>
      <w:r w:rsidR="00C20D54">
        <w:t xml:space="preserve"> Owoców owej współpracy oczekiwano w celu: obrony pokoju, rozwijani</w:t>
      </w:r>
      <w:r w:rsidR="004B2F85">
        <w:t>a</w:t>
      </w:r>
      <w:r w:rsidR="00C20D54">
        <w:t xml:space="preserve"> cnót obywatelskich i etosu pracy, ochrony moralności i zabytków.</w:t>
      </w:r>
      <w:r w:rsidR="00C20D54">
        <w:rPr>
          <w:rStyle w:val="Odwoanieprzypisudolnego"/>
        </w:rPr>
        <w:footnoteReference w:id="63"/>
      </w:r>
      <w:r w:rsidR="00070E2C">
        <w:t xml:space="preserve"> Analiza tez I sekretarza pozwala wysnuć wniosek, iż sfera wolności sumienia i wyznania była aprobowana, czy bardziej – tolerowana, ale jedynie jako wartość funkcjonalna społecznie, jedynie na polu materialnym. Bardzo mocno wyznaczono również granice tolerancji socjalistycznego państwa dla wpływów zewnętrznych- konkretnie Watykanu, który oceniano jako element wrogi</w:t>
      </w:r>
      <w:r w:rsidR="001B13FE">
        <w:t xml:space="preserve"> państwu i jego doktrynie. </w:t>
      </w:r>
      <w:r w:rsidR="004E4C1F" w:rsidRPr="004E4C1F">
        <w:t>W wystąpieniu W. Jaruzelskiego próżno doszukiwa</w:t>
      </w:r>
      <w:r w:rsidR="004E4C1F">
        <w:t>ć</w:t>
      </w:r>
      <w:r w:rsidR="004E4C1F" w:rsidRPr="004E4C1F">
        <w:t xml:space="preserve"> się przełomu, który świadczyć mógł </w:t>
      </w:r>
      <w:r w:rsidR="00355214">
        <w:t xml:space="preserve">chociażby </w:t>
      </w:r>
      <w:r w:rsidR="004E4C1F" w:rsidRPr="004E4C1F">
        <w:t>o wpływach pieriestrojki.</w:t>
      </w:r>
      <w:r w:rsidR="004E4C1F">
        <w:t xml:space="preserve"> </w:t>
      </w:r>
      <w:r w:rsidR="00482284">
        <w:t xml:space="preserve">Wystąpienie miało wyraźnie konfrontacyjny charakter wobec Kościoła katolickiego. </w:t>
      </w:r>
    </w:p>
    <w:p w:rsidR="00C23EFF" w:rsidRDefault="004B2F85" w:rsidP="009D5E51">
      <w:r>
        <w:t>Brak przełomu w d</w:t>
      </w:r>
      <w:r w:rsidR="00A51937">
        <w:t>oktrynie</w:t>
      </w:r>
      <w:r>
        <w:t xml:space="preserve"> państwa wobec </w:t>
      </w:r>
      <w:r w:rsidR="00C23EFF">
        <w:t xml:space="preserve">Watykanu potwierdza również notatka z 12 kwietnia 1988 r. biura Władysława Loranca, Ministra i Kierownika do Spraw Wyznań do Kazimierza Barcikowskiego, Zastępcy Przewodniczącego </w:t>
      </w:r>
      <w:r>
        <w:t>R</w:t>
      </w:r>
      <w:r w:rsidR="00C23EFF">
        <w:t xml:space="preserve">ady Państwa. List jest </w:t>
      </w:r>
      <w:r>
        <w:t xml:space="preserve">krytyczną </w:t>
      </w:r>
      <w:r w:rsidR="00C23EFF">
        <w:t xml:space="preserve">opinią w sprawie wniosku Katolickiego Uniwersytetu Lubelskiego o nadaniu tytułu </w:t>
      </w:r>
      <w:proofErr w:type="spellStart"/>
      <w:r>
        <w:t>d</w:t>
      </w:r>
      <w:r w:rsidR="00C23EFF">
        <w:t>octora</w:t>
      </w:r>
      <w:proofErr w:type="spellEnd"/>
      <w:r w:rsidR="00C23EFF">
        <w:t xml:space="preserve"> </w:t>
      </w:r>
      <w:r>
        <w:t>h</w:t>
      </w:r>
      <w:r w:rsidR="00C23EFF">
        <w:t xml:space="preserve">onoris </w:t>
      </w:r>
      <w:r>
        <w:t>c</w:t>
      </w:r>
      <w:r w:rsidR="00C23EFF">
        <w:t xml:space="preserve">ausa ks. prof. </w:t>
      </w:r>
      <w:r w:rsidR="00A51937">
        <w:t>kard</w:t>
      </w:r>
      <w:r w:rsidR="00C23EFF">
        <w:t>. Józefowi Ratzingerowi. Czytamy w niej, iż dokonane przez niego „analizy socjalizmu, marksizmu i ateizmu są tendencyjne i napastliwe”.</w:t>
      </w:r>
      <w:r w:rsidR="00A145E4">
        <w:rPr>
          <w:rStyle w:val="Odwoanieprzypisudolnego"/>
        </w:rPr>
        <w:footnoteReference w:id="64"/>
      </w:r>
      <w:r w:rsidR="00C23EFF">
        <w:t xml:space="preserve">   </w:t>
      </w:r>
      <w:r w:rsidR="00717FA8">
        <w:t>Władze partyjno-państwowe uznawały za szczególnie wrogie dwa dokumenty Kościoła:</w:t>
      </w:r>
      <w:r w:rsidR="00C23EFF">
        <w:t xml:space="preserve"> „</w:t>
      </w:r>
      <w:proofErr w:type="spellStart"/>
      <w:r w:rsidR="00C23EFF">
        <w:t>Octogesima</w:t>
      </w:r>
      <w:proofErr w:type="spellEnd"/>
      <w:r w:rsidR="00C23EFF">
        <w:t xml:space="preserve"> </w:t>
      </w:r>
      <w:proofErr w:type="spellStart"/>
      <w:r w:rsidR="00C23EFF">
        <w:t>adveniens</w:t>
      </w:r>
      <w:proofErr w:type="spellEnd"/>
      <w:r w:rsidR="00717FA8">
        <w:t>”</w:t>
      </w:r>
      <w:r w:rsidR="00C23EFF">
        <w:t xml:space="preserve"> </w:t>
      </w:r>
      <w:r w:rsidR="00717FA8">
        <w:t xml:space="preserve">Pawła VI </w:t>
      </w:r>
      <w:r w:rsidR="00C23EFF">
        <w:t xml:space="preserve">z 14 maja 1971 r. </w:t>
      </w:r>
      <w:r w:rsidR="00717FA8">
        <w:t xml:space="preserve">i </w:t>
      </w:r>
      <w:r w:rsidR="00717FA8" w:rsidRPr="00717FA8">
        <w:t>„Instrukcj</w:t>
      </w:r>
      <w:r w:rsidR="00A51937">
        <w:t>ę</w:t>
      </w:r>
      <w:r w:rsidR="00717FA8" w:rsidRPr="00717FA8">
        <w:t xml:space="preserve"> o niektórych aspektach teologii wyzwolenia” z 6 sierpnia 1984 r. Prefekta do Spraw Kongregacji Nauki Wiary kard. J. Ratzingera</w:t>
      </w:r>
      <w:r w:rsidR="00717FA8">
        <w:t>. W dokumencie „</w:t>
      </w:r>
      <w:proofErr w:type="spellStart"/>
      <w:r w:rsidR="00717FA8">
        <w:t>Octogesima</w:t>
      </w:r>
      <w:proofErr w:type="spellEnd"/>
      <w:r w:rsidR="00717FA8">
        <w:t xml:space="preserve">…”, </w:t>
      </w:r>
      <w:r w:rsidR="00C23EFF">
        <w:t>zwłaszcza w części „Przyciąganie prądów socjalistycznych”,  oraz w części: „Historyczna ewolucja marksizmu”</w:t>
      </w:r>
      <w:r w:rsidR="00717FA8">
        <w:t xml:space="preserve"> znajdujemy zapisy</w:t>
      </w:r>
      <w:r w:rsidR="009D5E51">
        <w:t xml:space="preserve"> świadczące o braku akceptacji dla marksizmu, walki klas, totalitaryzmu i brutalizacji społecznej, za którą marksizm odpowiada</w:t>
      </w:r>
      <w:r w:rsidR="00AE68A9">
        <w:t>.</w:t>
      </w:r>
      <w:r w:rsidR="00AE68A9">
        <w:rPr>
          <w:rStyle w:val="Odwoanieprzypisudolnego"/>
        </w:rPr>
        <w:footnoteReference w:id="65"/>
      </w:r>
      <w:r w:rsidR="009D5E51">
        <w:t xml:space="preserve"> Natomiast w</w:t>
      </w:r>
      <w:r w:rsidR="00C23EFF">
        <w:t xml:space="preserve"> części „Odrodzenie utopii” zwracano uwagę na unikanie odpowiedzialności społecznej i politycznej </w:t>
      </w:r>
      <w:r w:rsidR="009D5E51">
        <w:t>przez reżimy</w:t>
      </w:r>
      <w:r w:rsidR="00C23EFF">
        <w:t xml:space="preserve"> socjalistyczn</w:t>
      </w:r>
      <w:r w:rsidR="009D5E51">
        <w:t>e, cyt.</w:t>
      </w:r>
      <w:r w:rsidR="00C23EFF">
        <w:t xml:space="preserve">: „Odwołanie się do utopii jest często wygodną wymówką dla tych, którzy chcą uciec od konkretnych zadań, aby schronić się w wyimaginowanym świecie. Życie w hipotetycznej </w:t>
      </w:r>
      <w:r w:rsidR="00C23EFF">
        <w:lastRenderedPageBreak/>
        <w:t>przyszłości jest łatwym alibi dla odrzucenia natychmiastowej odpowiedzialności”</w:t>
      </w:r>
      <w:r w:rsidR="009D5E51">
        <w:t>. W</w:t>
      </w:r>
      <w:r w:rsidR="00C23EFF">
        <w:t xml:space="preserve"> części „Niejednoznaczny charakter postępu” Paweł VI oceniał ideę postępu, obecną po obu stronach żelaznej kurtyny</w:t>
      </w:r>
      <w:r w:rsidR="009D5E51">
        <w:t>, cyt.</w:t>
      </w:r>
      <w:r w:rsidR="00C23EFF">
        <w:t>: „Od XIX wieku społeczeństwa zachodnie, a w rezultacie wiele innych, pokładają nadzieję w nieustannie odnawianym i nieokreślonym postępie. (…) Pojawia się jednak dziś wątpliwość zarówno co do jego wartości, jak i rezultatu</w:t>
      </w:r>
      <w:r w:rsidR="009D5E51">
        <w:t xml:space="preserve"> (</w:t>
      </w:r>
      <w:r w:rsidR="00C23EFF">
        <w:t>…</w:t>
      </w:r>
      <w:r w:rsidR="009D5E51">
        <w:t>).</w:t>
      </w:r>
      <w:r w:rsidR="00C23EFF">
        <w:t xml:space="preserve"> Czyż prawdziwy postęp nie polega na rozwoju świadomości moralnej, która doprowadzi człowieka do </w:t>
      </w:r>
      <w:r w:rsidR="009D5E51">
        <w:t>(…)</w:t>
      </w:r>
      <w:r w:rsidR="00C23EFF">
        <w:t xml:space="preserve"> otwarcia się na innych i na Boga? Dla chrześcijanina postęp nieuchronnie zderza się z eschatologiczną tajemnicą śmierci. Śmierć Chrystusa, Jego zmartwychwstanie i wylanie Ducha Pańskiego pomagają człowiekowi umieścić jego wolność, w kreatywności i wdzięczności, w kontekście prawdy o wszelkim postępie i jedynej nadziei, która nie zwodzi”.</w:t>
      </w:r>
      <w:r w:rsidR="00E8408B">
        <w:rPr>
          <w:rStyle w:val="Odwoanieprzypisudolnego"/>
        </w:rPr>
        <w:footnoteReference w:id="66"/>
      </w:r>
      <w:r w:rsidR="00C23EFF">
        <w:t xml:space="preserve"> </w:t>
      </w:r>
    </w:p>
    <w:p w:rsidR="008F03D4" w:rsidRDefault="009D5E51" w:rsidP="008F03D4">
      <w:r>
        <w:t xml:space="preserve">Z kolei w </w:t>
      </w:r>
      <w:r w:rsidR="00C23EFF">
        <w:t>„Instrukcj</w:t>
      </w:r>
      <w:r>
        <w:t>i</w:t>
      </w:r>
      <w:r w:rsidR="00C23EFF">
        <w:t xml:space="preserve"> o niektórych aspektach teologii wyzwolenia” z 6 sierpnia 1984 r. Prefekta do Spraw Kongregacji Nauki Wiary kard. J. Ratzingera </w:t>
      </w:r>
      <w:r>
        <w:t>w</w:t>
      </w:r>
      <w:r w:rsidR="00C23EFF">
        <w:t xml:space="preserve"> częś</w:t>
      </w:r>
      <w:r>
        <w:t>ci</w:t>
      </w:r>
      <w:r w:rsidR="00C23EFF">
        <w:t xml:space="preserve"> „Analiza marksistowska”</w:t>
      </w:r>
      <w:r w:rsidR="008F03D4">
        <w:t xml:space="preserve"> negatywnie oceniono pozostającą pod wpływem marksizmu teologię wyzwolenia.</w:t>
      </w:r>
      <w:r w:rsidR="00E8408B">
        <w:rPr>
          <w:rStyle w:val="Odwoanieprzypisudolnego"/>
        </w:rPr>
        <w:footnoteReference w:id="67"/>
      </w:r>
      <w:r w:rsidR="00C23EFF">
        <w:t xml:space="preserve"> </w:t>
      </w:r>
      <w:r w:rsidR="008F03D4">
        <w:t xml:space="preserve">Oba dokumenty uderzały zatem w serce doktryny marksistowskiej niesionej na sztandarach państw socjalistycznych. </w:t>
      </w:r>
    </w:p>
    <w:p w:rsidR="00482284" w:rsidRDefault="00482284" w:rsidP="008F03D4">
      <w:r>
        <w:t>Warunki polityczne uległy zmianie podczas przygotowań do trzeciej pielgrzymki papieskiej</w:t>
      </w:r>
      <w:r w:rsidR="008F03D4">
        <w:t xml:space="preserve"> do Polski (czerwiec 1987 r)</w:t>
      </w:r>
      <w:r>
        <w:t>. Pieriestrojka i dekonstrukcja systemu wymuszały na władzy zmianę postaw wobec Kościoła i sprzyjały współpracy.</w:t>
      </w:r>
      <w:r>
        <w:rPr>
          <w:rStyle w:val="Odwoanieprzypisudolnego"/>
        </w:rPr>
        <w:footnoteReference w:id="68"/>
      </w:r>
      <w:r>
        <w:t xml:space="preserve">  Również między Moskwą, a Watykanem pojawiło się pewne odprężenie i zainteresowanie kontaktami papieża z Patriarchatem Moskiewskim. Sama pielgrzymka nie wolna była od politycznych apel</w:t>
      </w:r>
      <w:r w:rsidR="00A51937">
        <w:t>i</w:t>
      </w:r>
      <w:r>
        <w:t xml:space="preserve">, czy gestów, jak choćby wizyta na grobie zamordowanego ks. J. Popiełuszki, czy złożenie wieńców pod pomnikiem stoczniowców. </w:t>
      </w:r>
      <w:r>
        <w:rPr>
          <w:rStyle w:val="Odwoanieprzypisudolnego"/>
        </w:rPr>
        <w:footnoteReference w:id="69"/>
      </w:r>
      <w:r>
        <w:t xml:space="preserve"> W 1987 r. odbyła się również wizyta gen. W. Jaruzelskiego w Watykanie. System ulegał dekompozycji i </w:t>
      </w:r>
      <w:r w:rsidR="00717FA8">
        <w:t>wyraźnie słabł, przy czym -</w:t>
      </w:r>
      <w:r>
        <w:t xml:space="preserve">racjonalizował się. </w:t>
      </w:r>
    </w:p>
    <w:p w:rsidR="001A7E53" w:rsidRDefault="00482284" w:rsidP="00482284">
      <w:r>
        <w:t xml:space="preserve">Ekspertyza dla Ministerstwa Wyznań z 19 kwietnia 1988 r. o funkcjonowaniu prawa do wolności sumienia świadczyła o pragmatycznym i krytycznym podejściu </w:t>
      </w:r>
      <w:r w:rsidR="00A51937">
        <w:t xml:space="preserve">rządowych </w:t>
      </w:r>
      <w:r w:rsidR="008F03D4">
        <w:t xml:space="preserve">analityków </w:t>
      </w:r>
      <w:r>
        <w:t xml:space="preserve">do </w:t>
      </w:r>
      <w:r w:rsidR="00A51937">
        <w:t xml:space="preserve">tejże </w:t>
      </w:r>
      <w:r>
        <w:t xml:space="preserve">problematyki. Czytamy tu, między innymi: „Stan faktyczny w PRL daleko odbiega od formuły konstytucyjnej, brak pełnej regulacji prawnej sytuacji kościoła katolickiego, trzy formy regulacji sytuacji innych kościołów i związków wyznaniowych. </w:t>
      </w:r>
      <w:r>
        <w:lastRenderedPageBreak/>
        <w:t>Normy prawa międzynarodowego kładą nacisk na wolność sumienia i wyznania, a nie na uregulowanie stosunku państwa do związków wyznaniowych.”</w:t>
      </w:r>
      <w:r w:rsidR="008F03D4">
        <w:rPr>
          <w:rStyle w:val="Odwoanieprzypisudolnego"/>
        </w:rPr>
        <w:footnoteReference w:id="70"/>
      </w:r>
      <w:r>
        <w:t xml:space="preserve">  Interesujący jest pogląd, który każe w doktrynie państwowo- socjalistycznej „odrzucić przekonanie o nietrwałości religii w ustroju socjalistycznym </w:t>
      </w:r>
      <w:r w:rsidR="00A51937">
        <w:t>/</w:t>
      </w:r>
      <w:r>
        <w:t>będąc</w:t>
      </w:r>
      <w:r w:rsidR="00A51937">
        <w:t>ych</w:t>
      </w:r>
      <w:r>
        <w:t xml:space="preserve"> powodem nieuregulowania, o których mowa wyżej/ i założyć długotrwałość istnienia w Polsce związków wyznaniowych. Powinny też przewidzieć możliwość współdziałania państwa z tymi związkami/ uchwała X Zjazdu PZPR/, a także przestać traktować przekonania ateistyczne i bezwyznaniowość jako coś wstydliwego, wyraźnie zapewnić ich wolność”.</w:t>
      </w:r>
      <w:r>
        <w:rPr>
          <w:rStyle w:val="Odwoanieprzypisudolnego"/>
        </w:rPr>
        <w:footnoteReference w:id="71"/>
      </w:r>
      <w:r>
        <w:t xml:space="preserve">   </w:t>
      </w:r>
    </w:p>
    <w:p w:rsidR="00920657" w:rsidRDefault="005C1795" w:rsidP="003F1228">
      <w:r>
        <w:t>Od 1988 r. ruszyły wreszcie prace nad ustawą o realizacji wolności sumienia i wyznania. W</w:t>
      </w:r>
      <w:r w:rsidR="00A51937">
        <w:t>.</w:t>
      </w:r>
      <w:r>
        <w:t xml:space="preserve"> Hanz zauważa, że idea ta została zainicjowana przez powołany w 1977 r. Zespół ds. Kontaktów z Polską Radą Ekumeniczną. Rozmowy prowadzone w tym formacie </w:t>
      </w:r>
      <w:r w:rsidR="003F1228">
        <w:t>dotyczyły zbliżenia w kwestiach społecznych i moralnych, prowadząc finalnie do uchwalenia powyższej ustawy.</w:t>
      </w:r>
      <w:r w:rsidR="00815CDC">
        <w:rPr>
          <w:rStyle w:val="Odwoanieprzypisudolnego"/>
        </w:rPr>
        <w:footnoteReference w:id="72"/>
      </w:r>
    </w:p>
    <w:p w:rsidR="002B5B3C" w:rsidRDefault="005F3C07" w:rsidP="005F3C07">
      <w:r>
        <w:t xml:space="preserve">Pierwsze posiedzenie Zespołu Redakcyjnego ds. opracowania projektu ustawy o realizacji wolności sumienia i wyznania odbyło się 21 czerwca 1988 r. w Urzędzie do Spraw Wyznań. Na czele zespołu PRE stał bp. W. Wysoczański, na czele zespołu rządowego- dyr. G. Rydlewski. </w:t>
      </w:r>
      <w:r w:rsidR="002B5B3C">
        <w:t>S</w:t>
      </w:r>
      <w:r w:rsidR="002B5B3C" w:rsidRPr="002B5B3C">
        <w:t xml:space="preserve">potykano się </w:t>
      </w:r>
      <w:r w:rsidR="003F1228">
        <w:t xml:space="preserve">również </w:t>
      </w:r>
      <w:r w:rsidR="002B5B3C" w:rsidRPr="002B5B3C">
        <w:t>w siedzibie PRE, Urzędzie do spraw Wyznań i STPK (Społeczne Towarzystwo Polskich Katolików).</w:t>
      </w:r>
      <w:r w:rsidR="002B5B3C">
        <w:rPr>
          <w:rStyle w:val="Odwoanieprzypisudolnego"/>
        </w:rPr>
        <w:footnoteReference w:id="73"/>
      </w:r>
    </w:p>
    <w:p w:rsidR="005F3C07" w:rsidRDefault="005F3C07" w:rsidP="005F3C07">
      <w:r>
        <w:t xml:space="preserve">Na pierwszym spotkaniu obie strony przedstawiły założenia merytoryczne prac nad opracowaniem projektu ustawy o gwarancjach realizacji wolności sumienia i wyznania, które ustalone zostały w trakcie spotkania Ministra W. Loranca ze zwierzchnikami kościołów członkowskich Polskiej Rady Ekumenicznej w dniu 31 maja 1988 r. Spotkania odbywać się </w:t>
      </w:r>
      <w:r w:rsidR="003F1228">
        <w:t>miały</w:t>
      </w:r>
      <w:r>
        <w:t xml:space="preserve"> według potrzeb, ale nie rzadziej niż 2 razy w miesiącu. Obie strony miały prawo zaproszenia</w:t>
      </w:r>
      <w:r w:rsidR="000B3F62">
        <w:t>,</w:t>
      </w:r>
      <w:r>
        <w:t xml:space="preserve"> po uprzedzeniu</w:t>
      </w:r>
      <w:r w:rsidR="000B3F62">
        <w:t>,</w:t>
      </w:r>
      <w:r>
        <w:t xml:space="preserve"> ekspertów, a w razie potrzeby </w:t>
      </w:r>
      <w:r w:rsidR="00571FBD">
        <w:t>wskazano na możliwość</w:t>
      </w:r>
      <w:r>
        <w:t xml:space="preserve"> powoł</w:t>
      </w:r>
      <w:r w:rsidR="00571FBD">
        <w:t>ywania</w:t>
      </w:r>
      <w:r>
        <w:t xml:space="preserve"> podzespoł</w:t>
      </w:r>
      <w:r w:rsidR="00571FBD">
        <w:t>ów</w:t>
      </w:r>
      <w:r>
        <w:t xml:space="preserve"> dla przygotowania propozycji zespołu redakcyjnego</w:t>
      </w:r>
      <w:r w:rsidR="00571FBD">
        <w:t xml:space="preserve">. Obie strony zobowiązywały się do wymiany przed posiedzeniami tekstów ze swymi propozycjami. Po posiedzeniach protokoły uzgodnień były podpisywane przez obu współprzewodniczących Zespołu Redakcyjnego. </w:t>
      </w:r>
      <w:r w:rsidR="00571FBD">
        <w:rPr>
          <w:rStyle w:val="Odwoanieprzypisudolnego"/>
        </w:rPr>
        <w:footnoteReference w:id="74"/>
      </w:r>
    </w:p>
    <w:p w:rsidR="0038523A" w:rsidRDefault="00871629" w:rsidP="00871629">
      <w:r>
        <w:t xml:space="preserve">Analiza propozycji strony rządowej i PRE pozwala zauważyć, że ta ostatnia optowała za zapisami, które w sferze wolności sumienia dawałyby gwarancje indywidualne i osobiste, </w:t>
      </w:r>
      <w:r>
        <w:lastRenderedPageBreak/>
        <w:t xml:space="preserve">podczas, gdy strona rządowa widziała je jako gwarancje ogólne- obywatelskie. Kościoły opowiadały się również za wzmianką o wspólnych </w:t>
      </w:r>
      <w:r w:rsidR="000B3F62">
        <w:t>tradycjach</w:t>
      </w:r>
      <w:r>
        <w:t xml:space="preserve"> historycznych, które budowały wartości prawno-państwowe</w:t>
      </w:r>
      <w:r w:rsidR="00AE1991">
        <w:t xml:space="preserve"> i kulturę narodową</w:t>
      </w:r>
      <w:r>
        <w:t>.</w:t>
      </w:r>
      <w:r w:rsidR="00AE1991">
        <w:rPr>
          <w:rStyle w:val="Odwoanieprzypisudolnego"/>
        </w:rPr>
        <w:footnoteReference w:id="75"/>
      </w:r>
      <w:r>
        <w:t xml:space="preserve">Strona rządowa początkowo odrzucała tę narrację- powielając raczej zapisy konstytucyjne. PRE bardziej również w swych propozycjach uwzględniała znaczenie konstytucji, podczas gdy strona rządowa- powoływała się na państwo i ustrój socjalistyczny. </w:t>
      </w:r>
      <w:r w:rsidR="00AE1991">
        <w:t xml:space="preserve">W toku pertraktacji uwzględniono również odwołanie się do dorobku międzynarodowego praw człowieka. Tytuł ustawy uzgodniono na drugim posiedzeniu zespołu (19 lipca 1988 r.) jako </w:t>
      </w:r>
      <w:r w:rsidR="00AE1991" w:rsidRPr="00AE1991">
        <w:t>„Ustawa o realizacji wolności sumienia i wyznania</w:t>
      </w:r>
      <w:r w:rsidR="00FB753D">
        <w:t>”</w:t>
      </w:r>
      <w:r w:rsidR="00AE1991" w:rsidRPr="00AE1991">
        <w:t>.</w:t>
      </w:r>
      <w:r w:rsidR="00FB753D">
        <w:rPr>
          <w:rStyle w:val="Odwoanieprzypisudolnego"/>
        </w:rPr>
        <w:footnoteReference w:id="76"/>
      </w:r>
    </w:p>
    <w:p w:rsidR="007E6467" w:rsidRDefault="000B3F62" w:rsidP="00832181">
      <w:r w:rsidRPr="000B3F62">
        <w:t xml:space="preserve">W notatce z 18 lipca 1988 r. </w:t>
      </w:r>
      <w:r>
        <w:t>o</w:t>
      </w:r>
      <w:r w:rsidR="00A23191">
        <w:t>pracowane</w:t>
      </w:r>
      <w:r>
        <w:t>j</w:t>
      </w:r>
      <w:r w:rsidR="00A23191">
        <w:t xml:space="preserve"> przez prof. Jerzego Godlewskiego </w:t>
      </w:r>
      <w:r>
        <w:t>znajdujemy następujące propozycje</w:t>
      </w:r>
      <w:r w:rsidR="00A23191">
        <w:t>:</w:t>
      </w:r>
      <w:r w:rsidR="00832181">
        <w:t xml:space="preserve"> </w:t>
      </w:r>
      <w:r>
        <w:t>p</w:t>
      </w:r>
      <w:r w:rsidR="00A23191">
        <w:t>reambuła ustawy powinna odwoływać się do:</w:t>
      </w:r>
      <w:r w:rsidR="00832181">
        <w:t xml:space="preserve"> </w:t>
      </w:r>
      <w:r w:rsidR="00A23191">
        <w:t>Art.67, ust. 2; 81 i 82 Konstytucji PRL;</w:t>
      </w:r>
      <w:r w:rsidR="00E9132A">
        <w:t xml:space="preserve"> </w:t>
      </w:r>
      <w:r w:rsidR="00A23191">
        <w:t>Międzynarodowego Paktu Praw Obywatelskich i Politycznych, dokumentów KBWE</w:t>
      </w:r>
      <w:r w:rsidR="00E9132A">
        <w:t xml:space="preserve">, </w:t>
      </w:r>
      <w:r w:rsidR="00A23191">
        <w:t xml:space="preserve">aktywnego uczestnictwa i współdziałania obywateli bez względu na światopogląd </w:t>
      </w:r>
      <w:r w:rsidR="00AE2164">
        <w:t>w życiu publicznym i społecznym, w umacnianiu niepodległości i bezpieczeństwa państwa</w:t>
      </w:r>
      <w:r w:rsidR="00E9132A">
        <w:t xml:space="preserve">. Dowodził, iż </w:t>
      </w:r>
      <w:r w:rsidR="007E6467">
        <w:t>Ustawa powinna być formułowana</w:t>
      </w:r>
      <w:r w:rsidR="00E9132A">
        <w:t xml:space="preserve"> </w:t>
      </w:r>
      <w:r w:rsidR="007E6467">
        <w:t>bez wprowadzania rozdziałów, jednakże w następującym porządku:</w:t>
      </w:r>
      <w:r w:rsidR="00E9132A">
        <w:t xml:space="preserve"> </w:t>
      </w:r>
      <w:r w:rsidR="007E6467">
        <w:t>określenie zasady wolności sumienia i wyznania i określenie jej miejsca w systemie prawnym PRL;</w:t>
      </w:r>
      <w:r w:rsidR="00E9132A">
        <w:t xml:space="preserve"> </w:t>
      </w:r>
      <w:r w:rsidR="007E6467">
        <w:t>prawa i obowiązki obywatela w sferze przekonań światopoglądowych;</w:t>
      </w:r>
      <w:r w:rsidR="00E9132A">
        <w:t xml:space="preserve"> </w:t>
      </w:r>
      <w:r w:rsidR="007E6467">
        <w:t>zakres swobody działalności kościołów i związków wyznaniowych, stosunek państwa do kościołów i związków wyznaniowych; zakres nadzoru państwa nad nimi, państwowa administracja wyznaniowa.</w:t>
      </w:r>
      <w:r w:rsidR="0020038F">
        <w:rPr>
          <w:rStyle w:val="Odwoanieprzypisudolnego"/>
        </w:rPr>
        <w:footnoteReference w:id="77"/>
      </w:r>
    </w:p>
    <w:p w:rsidR="00036660" w:rsidRDefault="0020038F" w:rsidP="00832181">
      <w:r>
        <w:t>Wytypowano następujące zagadnienia, które wymagały regulacji ustawy:</w:t>
      </w:r>
      <w:r w:rsidR="00832181">
        <w:t xml:space="preserve"> </w:t>
      </w:r>
      <w:r>
        <w:t>„ wolność sumienia i wyznania stanowi osobistą własność człowieka i obywatela, wolną od jakiegokolwiek nacisku z jakiejkolwiek strony; zapewnia nie tylko możliwość wyboru światopoglądu, ale i uszanowanie godności ludzkiej, swobodę kształtowania światopoglądu i wewnętrznych przekonań</w:t>
      </w:r>
      <w:r w:rsidR="00E9132A">
        <w:t>”</w:t>
      </w:r>
      <w:r>
        <w:t>.</w:t>
      </w:r>
      <w:r w:rsidR="00E9132A">
        <w:t xml:space="preserve"> „W</w:t>
      </w:r>
      <w:r>
        <w:t>olność sumienia i wyznania zapewnia następujące indywidualne prawa:</w:t>
      </w:r>
      <w:r w:rsidR="00E9132A">
        <w:t xml:space="preserve"> s</w:t>
      </w:r>
      <w:r>
        <w:t>wobodny wybór światopoglądu, wyznawanie lub niewyznawanie religii</w:t>
      </w:r>
      <w:r w:rsidR="00E9132A">
        <w:t>, n</w:t>
      </w:r>
      <w:r>
        <w:t>ależne lub nienależne od któregokolwiek z kościołów lub związków wyznaniowych, możliwość przechodzenia z jednego wyznania na drugie, względnie założenie nowego związku wyznaniowego</w:t>
      </w:r>
      <w:r w:rsidR="00E9132A">
        <w:t>, p</w:t>
      </w:r>
      <w:r>
        <w:t>rawo do obrzędu i praktyk religijnych prywatnie lub publiczne, indywidualnie lub zbiorowo, do propagowania swojego światopoglądu lub krytykę innego, korzystania z usług religijnych instytucji i funkcjonariuszy organizacji wyznaniowych</w:t>
      </w:r>
      <w:r w:rsidR="00E9132A">
        <w:t>, p</w:t>
      </w:r>
      <w:r>
        <w:t>rawo do nieujawniania swego światopoglądu, przynależności (lub nie) wyznaniowej</w:t>
      </w:r>
      <w:r w:rsidR="00E9132A">
        <w:t>, p</w:t>
      </w:r>
      <w:r>
        <w:t xml:space="preserve">rawo do wychowania </w:t>
      </w:r>
      <w:r w:rsidRPr="000B3F62">
        <w:t xml:space="preserve">swych </w:t>
      </w:r>
      <w:r w:rsidRPr="000B3F62">
        <w:lastRenderedPageBreak/>
        <w:t>dzieci</w:t>
      </w:r>
      <w:r>
        <w:t xml:space="preserve"> w duchu własnyc</w:t>
      </w:r>
      <w:r w:rsidR="00036660">
        <w:t xml:space="preserve">h przekonań światopoglądowych. </w:t>
      </w:r>
      <w:r w:rsidR="00E9132A">
        <w:t xml:space="preserve">Rekomendowano też zapis: „ </w:t>
      </w:r>
      <w:r w:rsidR="00036660">
        <w:t>Nikt nie może być zmuszany do przenoszenia składek na cele religijne lub organizacji wyznaniowej, względnie skrępowany w ich składaniu</w:t>
      </w:r>
      <w:r w:rsidR="00E9132A">
        <w:t xml:space="preserve">”. </w:t>
      </w:r>
    </w:p>
    <w:p w:rsidR="002B62D0" w:rsidRDefault="00036660" w:rsidP="00D860EB">
      <w:r>
        <w:t xml:space="preserve">Z wolności sumienia i wyznania </w:t>
      </w:r>
      <w:r w:rsidR="00E9132A">
        <w:t>miały wynikać</w:t>
      </w:r>
      <w:r>
        <w:t xml:space="preserve"> następujące indywidualne obowiązki:</w:t>
      </w:r>
      <w:r w:rsidR="00E9132A">
        <w:t xml:space="preserve"> o</w:t>
      </w:r>
      <w:r>
        <w:t>bowiązek szanowania przekonań światopoglądowych innych ludzi, a więc przestrzeganie zakazu obrażania uczuć religijnych bądź ateistycznych, szerzenie nienawiści lub pogardy, wywoływania waśni lub poniżania ze względu na przekonania światopoglądowe; zakaz wywierania nacisków środowiskowych, towarzyskich, moralnych z tytułu wyznawanego światopoglądu</w:t>
      </w:r>
      <w:r w:rsidR="00D860EB">
        <w:t>, o</w:t>
      </w:r>
      <w:r>
        <w:t>bowiązek nieuchylania się ze względów światopoglądowych od powinności obywatelskich określonych przepisami prawnymi</w:t>
      </w:r>
      <w:r w:rsidR="00D860EB">
        <w:t>, p</w:t>
      </w:r>
      <w:r>
        <w:t>rzestrzeganie zakazu nadużywania wolności sumienia dla celów godzących w państwową rację stanu i w konstytucyjne zasady</w:t>
      </w:r>
      <w:r w:rsidR="00D860EB">
        <w:t>, o</w:t>
      </w:r>
      <w:r>
        <w:t xml:space="preserve">bowiązek przestrzegania porządku prawnego, w tym w szczególności reglamentującego </w:t>
      </w:r>
      <w:r w:rsidR="002B62D0">
        <w:t>uzewnętrznienie przekonań światopoglądowych</w:t>
      </w:r>
      <w:r w:rsidR="00D860EB">
        <w:t xml:space="preserve">; </w:t>
      </w:r>
      <w:r w:rsidR="002B62D0">
        <w:t xml:space="preserve"> obowiązek poszanowania zasad współżycia społecznego i dobrych obyczajów.</w:t>
      </w:r>
      <w:r w:rsidR="00D860EB">
        <w:t xml:space="preserve"> </w:t>
      </w:r>
    </w:p>
    <w:p w:rsidR="002B62D0" w:rsidRDefault="00D860EB" w:rsidP="00D860EB">
      <w:r>
        <w:t>Wytypowano następujące konsekwencje w</w:t>
      </w:r>
      <w:r w:rsidR="002B62D0">
        <w:t>olnoś</w:t>
      </w:r>
      <w:r>
        <w:t>ci</w:t>
      </w:r>
      <w:r w:rsidR="002B62D0">
        <w:t xml:space="preserve"> sumienia i wyznania dla kościołów i związków wyznaniowych:</w:t>
      </w:r>
      <w:r>
        <w:t xml:space="preserve"> k</w:t>
      </w:r>
      <w:r w:rsidR="002B62D0">
        <w:t>ościoły i związki wyznaniowe realizują indywidualne prawa ogółu ich członków do wolności sumienia i wyznania.</w:t>
      </w:r>
      <w:r>
        <w:t xml:space="preserve"> </w:t>
      </w:r>
      <w:r w:rsidR="002B62D0">
        <w:t xml:space="preserve">Kościoły i związki wyznaniowe  </w:t>
      </w:r>
      <w:r>
        <w:t>miały</w:t>
      </w:r>
      <w:r w:rsidR="002B62D0">
        <w:t xml:space="preserve"> swobodnie wypełniać swoje funkcje religijne</w:t>
      </w:r>
      <w:r>
        <w:t xml:space="preserve">, a ich status prawny (również zakonów, kongregacji, instytutów) byłby określony w ustawach </w:t>
      </w:r>
      <w:r w:rsidR="002B62D0">
        <w:t>dotyczących danego kościoła, bądź w prawie o stowarzyszeniach wyznaniowych.</w:t>
      </w:r>
      <w:r w:rsidR="002B62D0">
        <w:tab/>
      </w:r>
    </w:p>
    <w:p w:rsidR="002B62D0" w:rsidRDefault="002B62D0" w:rsidP="00D860EB">
      <w:r>
        <w:t>Kościoły i związki wyznaniowe nie mog</w:t>
      </w:r>
      <w:r w:rsidR="00D860EB">
        <w:t>łyby</w:t>
      </w:r>
      <w:r>
        <w:t xml:space="preserve"> uprawiać nienawiści rasowej lub wyznaniowej, fanatyzmu religijnego, lub propagandy godzącej w rację stanu państwa lub konstytucję PRL. </w:t>
      </w:r>
      <w:r w:rsidR="00D860EB">
        <w:t>Byłyby</w:t>
      </w:r>
      <w:r>
        <w:t xml:space="preserve"> autonomiczne w dziedzinie określania </w:t>
      </w:r>
      <w:r w:rsidR="00190A70">
        <w:t>swoich struktur i życia wewnętrznego.</w:t>
      </w:r>
    </w:p>
    <w:p w:rsidR="00190A70" w:rsidRDefault="00D860EB" w:rsidP="00036660">
      <w:r>
        <w:t>Ustanowiono by zasadę, że j</w:t>
      </w:r>
      <w:r w:rsidR="00190A70">
        <w:t>eżeli zbió</w:t>
      </w:r>
      <w:r w:rsidR="009C50F3">
        <w:t xml:space="preserve">rki na cele religijne są </w:t>
      </w:r>
      <w:r w:rsidR="00190A70">
        <w:t>prowadzone poza obrębem zabudowań i pomieszczeń, poświęconych wyłącznie kultowi religijnemu, wówczas mają zastosowanie przepisy ogólne o zbiórkach publicznych.</w:t>
      </w:r>
    </w:p>
    <w:p w:rsidR="00190A70" w:rsidRDefault="00D860EB" w:rsidP="00036660">
      <w:r>
        <w:t>Zastrzegano, że a</w:t>
      </w:r>
      <w:r w:rsidR="00190A70">
        <w:t xml:space="preserve">kt ślubu według obrządku religijnego </w:t>
      </w:r>
      <w:r>
        <w:t>mógłby</w:t>
      </w:r>
      <w:r w:rsidR="00190A70">
        <w:t xml:space="preserve"> być dokonany jedynie po zawarciu małżeństwa przed właściwym organem państwowym, zaś </w:t>
      </w:r>
      <w:r w:rsidR="00190A70" w:rsidRPr="000B3F62">
        <w:t xml:space="preserve">chrztu </w:t>
      </w:r>
      <w:r w:rsidRPr="000B3F62">
        <w:t xml:space="preserve">lub </w:t>
      </w:r>
      <w:r w:rsidR="00190A70" w:rsidRPr="000B3F62">
        <w:t>obrzezania</w:t>
      </w:r>
      <w:r w:rsidR="00190A70">
        <w:t xml:space="preserve">  jedynie po wpisaniu do księgi stanu cywilnego urodzin.</w:t>
      </w:r>
    </w:p>
    <w:p w:rsidR="00190A70" w:rsidRDefault="00E44DC0" w:rsidP="00036660">
      <w:r>
        <w:t>Zastrzegano również, iż u</w:t>
      </w:r>
      <w:r w:rsidR="00190A70">
        <w:t>czniowie szkół powszechnych (publicznych) nie mo</w:t>
      </w:r>
      <w:r>
        <w:t>gliby</w:t>
      </w:r>
      <w:r w:rsidR="00190A70">
        <w:t xml:space="preserve"> pobierać nauki religii (katechizacji) w godzinach szkolnych, w których uczęszczają</w:t>
      </w:r>
      <w:r w:rsidR="009C50F3">
        <w:t xml:space="preserve"> do szkó</w:t>
      </w:r>
      <w:r w:rsidR="00190A70">
        <w:t>ł. Na pobieranie</w:t>
      </w:r>
      <w:r w:rsidR="009C50F3">
        <w:t xml:space="preserve"> </w:t>
      </w:r>
      <w:r w:rsidR="00190A70">
        <w:t xml:space="preserve">lekcji religii potrzebne </w:t>
      </w:r>
      <w:r>
        <w:t>byłoby</w:t>
      </w:r>
      <w:r w:rsidR="00190A70">
        <w:t xml:space="preserve"> zezwolenie rodziców względnie opiekunów oraz zgoda samego nieletniego</w:t>
      </w:r>
      <w:r>
        <w:t>.</w:t>
      </w:r>
    </w:p>
    <w:p w:rsidR="00036660" w:rsidRDefault="00190A70" w:rsidP="00036660">
      <w:r>
        <w:lastRenderedPageBreak/>
        <w:t xml:space="preserve">Stosunki wyznaniowe władzy danego kościoła z państwem </w:t>
      </w:r>
      <w:r w:rsidR="00E44DC0">
        <w:t>podlegałyby</w:t>
      </w:r>
      <w:r>
        <w:t xml:space="preserve"> regul</w:t>
      </w:r>
      <w:r w:rsidR="00E44DC0">
        <w:t>acji</w:t>
      </w:r>
      <w:r>
        <w:t xml:space="preserve"> na drodze konwencji międzynarodowej lub dwustronnych umów, dotyczących określonych zagadnień wyznaniowych.</w:t>
      </w:r>
    </w:p>
    <w:p w:rsidR="009C50F3" w:rsidRDefault="009C50F3" w:rsidP="008C6633">
      <w:r>
        <w:t xml:space="preserve">Wszystkie kościoły i związki wyznaniowe działające w państwie </w:t>
      </w:r>
      <w:r w:rsidR="00E44DC0">
        <w:t>byłyby</w:t>
      </w:r>
      <w:r>
        <w:t xml:space="preserve"> równouprawnione bez względu na ilość członków lub ich statut prawno-organizacyjny</w:t>
      </w:r>
      <w:r w:rsidR="00E44DC0">
        <w:t>, nie mogłyby</w:t>
      </w:r>
      <w:r>
        <w:t xml:space="preserve"> zmuszać lub namawiać swoich członków do niekorzystania z praw jakie przysługują </w:t>
      </w:r>
      <w:r w:rsidR="000B3F62">
        <w:t>i</w:t>
      </w:r>
      <w:r>
        <w:t>m jako obywatelom w myśl Konstytucji i ustaw</w:t>
      </w:r>
      <w:r w:rsidR="00E44DC0">
        <w:t>, zaś p</w:t>
      </w:r>
      <w:r>
        <w:t>rawo wewnętrzne kościołów i związków wyznaniowych nie mo</w:t>
      </w:r>
      <w:r w:rsidR="00E44DC0">
        <w:t>głoby</w:t>
      </w:r>
      <w:r>
        <w:t xml:space="preserve"> mieć znaczenia poza ich forum wewnętrznym i nie m</w:t>
      </w:r>
      <w:r w:rsidR="00331A6D">
        <w:t>ógł</w:t>
      </w:r>
      <w:r>
        <w:t xml:space="preserve"> odnosić się do człowieka, który je nie uznaje.</w:t>
      </w:r>
      <w:r w:rsidR="008C6633">
        <w:t xml:space="preserve"> </w:t>
      </w:r>
      <w:r w:rsidR="00E44DC0">
        <w:t>K</w:t>
      </w:r>
      <w:r>
        <w:t>ościoł</w:t>
      </w:r>
      <w:r w:rsidR="00331A6D">
        <w:t>y</w:t>
      </w:r>
      <w:r>
        <w:t xml:space="preserve"> i inn</w:t>
      </w:r>
      <w:r w:rsidR="00E44DC0">
        <w:t>e</w:t>
      </w:r>
      <w:r>
        <w:t xml:space="preserve"> związ</w:t>
      </w:r>
      <w:r w:rsidR="00E44DC0">
        <w:t>ki</w:t>
      </w:r>
      <w:r>
        <w:t xml:space="preserve"> wyznaniow</w:t>
      </w:r>
      <w:r w:rsidR="00E44DC0">
        <w:t xml:space="preserve">e miałyby mieć prawo </w:t>
      </w:r>
      <w:r>
        <w:t xml:space="preserve"> do tworzenia związków międzywyznaniowych.</w:t>
      </w:r>
      <w:r>
        <w:rPr>
          <w:rStyle w:val="Odwoanieprzypisudolnego"/>
        </w:rPr>
        <w:footnoteReference w:id="78"/>
      </w:r>
    </w:p>
    <w:p w:rsidR="00E44DC0" w:rsidRDefault="00E44DC0" w:rsidP="00E44DC0">
      <w:r>
        <w:t xml:space="preserve">Określono również konsekwencje działania ustawy dla państwa: </w:t>
      </w:r>
    </w:p>
    <w:p w:rsidR="00262EF4" w:rsidRDefault="00262EF4" w:rsidP="00036660">
      <w:r>
        <w:t xml:space="preserve">Polska Rzeczpospolita Ludowa nie </w:t>
      </w:r>
      <w:r w:rsidR="00E44DC0">
        <w:t>był</w:t>
      </w:r>
      <w:r w:rsidR="00331A6D">
        <w:t>a</w:t>
      </w:r>
      <w:r w:rsidR="00E44DC0">
        <w:t>by</w:t>
      </w:r>
      <w:r>
        <w:t xml:space="preserve"> państwem religijnym, ani też państwem antyreligijnym,</w:t>
      </w:r>
      <w:r w:rsidR="00E44DC0">
        <w:t xml:space="preserve"> a</w:t>
      </w:r>
      <w:r>
        <w:t xml:space="preserve"> </w:t>
      </w:r>
      <w:r w:rsidRPr="00331A6D">
        <w:t>państwem areligijnym świeckim.</w:t>
      </w:r>
      <w:r>
        <w:t xml:space="preserve"> Kościoły i związki wyznaniowe </w:t>
      </w:r>
      <w:r w:rsidR="00E44DC0">
        <w:t>byłyby</w:t>
      </w:r>
      <w:r>
        <w:t xml:space="preserve"> oddzielone od państwa</w:t>
      </w:r>
      <w:r w:rsidR="00E44DC0">
        <w:t>, które</w:t>
      </w:r>
      <w:r>
        <w:t xml:space="preserve"> zapewnia</w:t>
      </w:r>
      <w:r w:rsidR="00E44DC0">
        <w:t>łoby</w:t>
      </w:r>
      <w:r>
        <w:t xml:space="preserve"> obywatelom prawną ochronę uczuć religijnych i bezwyznaniowych oraz dozwolonej sfery ich aktywności religijno-światopoglądowej, a kościołom i związkom wyznaniowym ochronę ich działalności religijno-kultowej. </w:t>
      </w:r>
    </w:p>
    <w:p w:rsidR="00E44DC0" w:rsidRDefault="00262EF4" w:rsidP="00036660">
      <w:r>
        <w:t xml:space="preserve">Nadzór państwa nad działalnością </w:t>
      </w:r>
      <w:r w:rsidR="00E44DC0">
        <w:t xml:space="preserve">kościołów </w:t>
      </w:r>
      <w:r>
        <w:t>i związków wyznaniowych</w:t>
      </w:r>
      <w:r w:rsidR="00E44DC0">
        <w:t xml:space="preserve"> wykonywałoby przez</w:t>
      </w:r>
      <w:r>
        <w:t xml:space="preserve"> administracja wyznaniowa, </w:t>
      </w:r>
      <w:r w:rsidR="00E44DC0">
        <w:t xml:space="preserve">w ramach ustaw. </w:t>
      </w:r>
    </w:p>
    <w:p w:rsidR="00525AF7" w:rsidRDefault="00E44DC0" w:rsidP="00331A6D">
      <w:r>
        <w:t>Za sporne dla ustawy uważano następujące zagadnienia: s</w:t>
      </w:r>
      <w:r w:rsidR="00E34EE5">
        <w:t>tosunek państwa do prawa wewnętrznego kościołów ( w tym prawa kanonicznego Kościoła rzymsko</w:t>
      </w:r>
      <w:r w:rsidR="00331A6D">
        <w:t>-</w:t>
      </w:r>
      <w:r w:rsidR="00E34EE5">
        <w:t>katolickiego)</w:t>
      </w:r>
      <w:r>
        <w:t xml:space="preserve">, </w:t>
      </w:r>
      <w:r w:rsidR="00E34EE5">
        <w:t xml:space="preserve"> </w:t>
      </w:r>
      <w:r>
        <w:t>o</w:t>
      </w:r>
      <w:r w:rsidR="00E34EE5">
        <w:t>sobowość prawn</w:t>
      </w:r>
      <w:r w:rsidR="00331A6D">
        <w:t>ą</w:t>
      </w:r>
      <w:r w:rsidR="00E34EE5">
        <w:t xml:space="preserve"> kościołów lub ich poszczególnych struktur organizacyjnych</w:t>
      </w:r>
      <w:r w:rsidR="008B5BA0">
        <w:t xml:space="preserve">, </w:t>
      </w:r>
      <w:r w:rsidR="00E34EE5">
        <w:t>własnoś</w:t>
      </w:r>
      <w:r w:rsidR="008B5BA0">
        <w:t>ć</w:t>
      </w:r>
      <w:r w:rsidR="00E34EE5">
        <w:t xml:space="preserve"> nieruchom</w:t>
      </w:r>
      <w:r w:rsidR="00331A6D">
        <w:t>ą</w:t>
      </w:r>
      <w:r w:rsidR="00E34EE5">
        <w:t xml:space="preserve"> i ruchom</w:t>
      </w:r>
      <w:r w:rsidR="00331A6D">
        <w:t>ą</w:t>
      </w:r>
      <w:r w:rsidR="00E34EE5">
        <w:t xml:space="preserve"> kościołów i związków wyznaniowych</w:t>
      </w:r>
      <w:r w:rsidR="008B5BA0">
        <w:t>, b</w:t>
      </w:r>
      <w:r w:rsidR="00E34EE5">
        <w:t>udownictwo sakralne</w:t>
      </w:r>
      <w:r w:rsidR="008B5BA0">
        <w:t xml:space="preserve">, </w:t>
      </w:r>
      <w:r w:rsidR="00331A6D">
        <w:t>k</w:t>
      </w:r>
      <w:r w:rsidR="00E34EE5">
        <w:t>ształcenie duchownych oraz kształcenie religijne osób świeckich, członków danego wyznania</w:t>
      </w:r>
      <w:r w:rsidR="008B5BA0">
        <w:t xml:space="preserve">, </w:t>
      </w:r>
      <w:r w:rsidR="00E34EE5">
        <w:t>obsadzanie stanowisk kościelnych i organizacja struktur kościołów</w:t>
      </w:r>
      <w:r w:rsidR="008B5BA0">
        <w:t>; kwestie informacji, wydawnictw, czasopism, innych środków masowego przekazu, w tym rozpowszechniani</w:t>
      </w:r>
      <w:r w:rsidR="00331A6D">
        <w:t>a</w:t>
      </w:r>
      <w:r w:rsidR="008B5BA0">
        <w:t xml:space="preserve"> druków i sprawa cenzury tychże; sprawy darowizn, kontaktów zagranicznych kościołów i pozyskiwania informacji z zagranicy, działalność charytatywna, zobowiązania podatkowe instytucji kościelnych i funkcjonariuszy wyznaniowych, udzielanie </w:t>
      </w:r>
      <w:r w:rsidR="003B12A4">
        <w:t>posług religijnych w wojsku, szpitalach, sanatoriach i zakładach karnyc</w:t>
      </w:r>
      <w:r w:rsidR="00660F27">
        <w:t>h</w:t>
      </w:r>
      <w:r w:rsidR="008B5BA0">
        <w:t>;</w:t>
      </w:r>
      <w:r w:rsidR="00660F27">
        <w:t xml:space="preserve"> </w:t>
      </w:r>
      <w:r w:rsidR="008B5BA0">
        <w:t>e</w:t>
      </w:r>
      <w:r w:rsidR="003B12A4">
        <w:t xml:space="preserve">widencja </w:t>
      </w:r>
      <w:r w:rsidR="008B5BA0">
        <w:t xml:space="preserve">prowadzona </w:t>
      </w:r>
      <w:r w:rsidR="003B12A4">
        <w:t>przez kościoły i związki wyznaniowe członków danego wyznania i jej rodzaj oraz zakres</w:t>
      </w:r>
      <w:r w:rsidR="008B5BA0">
        <w:t>, u</w:t>
      </w:r>
      <w:r w:rsidR="003B12A4">
        <w:t>bezpieczenia społeczne funkcjonariuszy wyznaniowych</w:t>
      </w:r>
      <w:r w:rsidR="008B5BA0">
        <w:t>, a</w:t>
      </w:r>
      <w:r w:rsidR="003B12A4">
        <w:t>dministracja cmentarzy</w:t>
      </w:r>
      <w:r w:rsidR="008B5BA0">
        <w:t>, zgromadzenia i pielgrzymki, p</w:t>
      </w:r>
      <w:r w:rsidR="003B12A4">
        <w:t xml:space="preserve">ubliczna działalność kulturalna i oświatowa organizacji wyznaniowych, </w:t>
      </w:r>
      <w:r w:rsidR="003B12A4">
        <w:lastRenderedPageBreak/>
        <w:t>naukowych i dobroczynnych</w:t>
      </w:r>
      <w:r w:rsidR="008B5BA0">
        <w:t xml:space="preserve">, </w:t>
      </w:r>
      <w:r w:rsidR="003B12A4">
        <w:t xml:space="preserve"> </w:t>
      </w:r>
      <w:r w:rsidR="008B5BA0">
        <w:t>t</w:t>
      </w:r>
      <w:r w:rsidR="003B12A4">
        <w:t>worzenie zakładów opiekuńczych</w:t>
      </w:r>
      <w:r w:rsidR="008B5BA0">
        <w:t>, u</w:t>
      </w:r>
      <w:r w:rsidR="003B12A4">
        <w:t>dział członków organizacji religijnych (zakonów) w zakładach służby zdrowia.</w:t>
      </w:r>
      <w:r w:rsidR="00660F27">
        <w:rPr>
          <w:rStyle w:val="Odwoanieprzypisudolnego"/>
        </w:rPr>
        <w:footnoteReference w:id="79"/>
      </w:r>
    </w:p>
    <w:p w:rsidR="001C0975" w:rsidRDefault="001C0975" w:rsidP="00331A6D">
      <w:r w:rsidRPr="001C0975">
        <w:t>26 i 27 kwietnia 1989 r. sejm Polskiej Rzeczypospolitej Ludowej zajął się rządowym projektami ustaw o stosunku Państwa do Kościoła Katolickiego w Polskiej Rzeczypospolitej Ludowej, o gwarancji wolności sumienia i wyznania, oraz o ubezpieczeniu społecznym duchownych. Powołano przy tym Komisj</w:t>
      </w:r>
      <w:r w:rsidR="008C6633">
        <w:t>ę</w:t>
      </w:r>
      <w:r w:rsidRPr="001C0975">
        <w:t xml:space="preserve"> Nadzwyczajn</w:t>
      </w:r>
      <w:r w:rsidR="008C6633">
        <w:t>ą</w:t>
      </w:r>
      <w:r w:rsidRPr="001C0975">
        <w:t xml:space="preserve"> do ro</w:t>
      </w:r>
      <w:r w:rsidR="007C744B">
        <w:t>z</w:t>
      </w:r>
      <w:r w:rsidRPr="001C0975">
        <w:t>patrzenia projektów ustaw: o stosunku Państwa do Kościoła Katolickiego, o gwaranc</w:t>
      </w:r>
      <w:r w:rsidR="007C744B">
        <w:t>j</w:t>
      </w:r>
      <w:r w:rsidRPr="001C0975">
        <w:t>ach wolności sumienia i wyznania oraz o ubezpieczeniu społecznym duchownych</w:t>
      </w:r>
      <w:r w:rsidR="008C6633">
        <w:t>.</w:t>
      </w:r>
      <w:r w:rsidRPr="001C0975">
        <w:t xml:space="preserve"> </w:t>
      </w:r>
      <w:r w:rsidR="00D973AA">
        <w:t>Ustawa o gwarancjach wolności sumienia i wyznania została  uchwalona 17 maja.</w:t>
      </w:r>
      <w:r w:rsidR="00C41D87">
        <w:rPr>
          <w:rStyle w:val="Odwoanieprzypisudolnego"/>
        </w:rPr>
        <w:footnoteReference w:id="80"/>
      </w:r>
      <w:r w:rsidR="00D973AA">
        <w:t xml:space="preserve"> W tym czasie w PRL trwały już strajki</w:t>
      </w:r>
      <w:r w:rsidR="007C744B">
        <w:t xml:space="preserve">, </w:t>
      </w:r>
      <w:r w:rsidR="008C6633">
        <w:t xml:space="preserve">w czerwcu zaplanowano wybory kontraktowe do Sejmu i pierwsze wolne wybory do Senatu, </w:t>
      </w:r>
      <w:r w:rsidR="007C744B">
        <w:t xml:space="preserve">a wkrótce nastąpiła dekompozycja struktur władz </w:t>
      </w:r>
      <w:r w:rsidR="008C6633">
        <w:t xml:space="preserve">i samego </w:t>
      </w:r>
      <w:r w:rsidR="007C744B">
        <w:t xml:space="preserve">PRL. </w:t>
      </w:r>
    </w:p>
    <w:p w:rsidR="00525AF7" w:rsidRDefault="007C744B" w:rsidP="00AF7E23">
      <w:r>
        <w:t xml:space="preserve">Analiza postaw władz polskiego państwa socjalistycznego wobec idei wolności sumienia i wyznania, a także wobec kościołów i związków wyznaniowych od 1944 r do 1989 r. potwierdza, że postawę tę cechowała głęboka nieufność. Nawet w okresach współpracy zauważamy tu elementy konfrontacji, które są obecne właściwie do końca trwania PRL. Władza nie reformowała i nie łagodziła swojego podejścia aż do 1988 r. Świadczy o tym chociażby wspomniana w artykule notatka Min. Loranca, będąca próbą wymuszenia cofnięcia decyzji władz Katolickiego Uniwersytetu Lubelskiego w sprawie przyznania tytułu </w:t>
      </w:r>
      <w:proofErr w:type="spellStart"/>
      <w:r>
        <w:t>doctora</w:t>
      </w:r>
      <w:proofErr w:type="spellEnd"/>
      <w:r>
        <w:t xml:space="preserve"> honoris causa </w:t>
      </w:r>
      <w:r w:rsidR="008C6633">
        <w:t>kard</w:t>
      </w:r>
      <w:r w:rsidR="00527CB6">
        <w:t xml:space="preserve">. J. Ratzingerowi i świadczy o tym, że państwo broniło swej ideologii do samego końca. Potwierdza to pogląd Z. Chlewińskiego, który nazwał państwa głęboko zideologizowane państwami o  </w:t>
      </w:r>
      <w:r w:rsidR="00525AF7">
        <w:t xml:space="preserve"> „zamkniętej tożsamości wyznaniowej”. Taka tożsamość</w:t>
      </w:r>
      <w:r w:rsidR="00527CB6">
        <w:t xml:space="preserve">, jak twierdzi, </w:t>
      </w:r>
      <w:r w:rsidR="00525AF7">
        <w:t xml:space="preserve"> opiera się na więzi instytucjonalnej i instrumentalnej. </w:t>
      </w:r>
      <w:r w:rsidR="00527CB6">
        <w:t xml:space="preserve">Chlewiński pisze </w:t>
      </w:r>
      <w:r w:rsidR="00525AF7">
        <w:t>o tym zjawisku następująco</w:t>
      </w:r>
      <w:r w:rsidR="00527CB6">
        <w:t>:</w:t>
      </w:r>
      <w:r w:rsidR="00525AF7">
        <w:t xml:space="preserve"> „Ludzie o </w:t>
      </w:r>
      <w:r w:rsidR="008C6633">
        <w:t>(</w:t>
      </w:r>
      <w:r w:rsidR="00525AF7">
        <w:t>zamkniętej</w:t>
      </w:r>
      <w:r w:rsidR="008C6633">
        <w:t>)</w:t>
      </w:r>
      <w:r w:rsidR="00525AF7">
        <w:t xml:space="preserve"> tożsamości </w:t>
      </w:r>
      <w:r w:rsidR="008C6633">
        <w:t>(…)</w:t>
      </w:r>
      <w:r w:rsidR="00525AF7">
        <w:t xml:space="preserve"> sądzą, że jedynie ich religia jest prawdziwa, a inne s</w:t>
      </w:r>
      <w:r w:rsidR="008C6633">
        <w:t xml:space="preserve">ą </w:t>
      </w:r>
      <w:r w:rsidR="00525AF7">
        <w:t>fałszywe lub (…) szkodliwe. W związku z tym należy utrzymywać wobec nich postawę obronną i unikać kontaktów z „innymi”</w:t>
      </w:r>
      <w:r w:rsidR="008C6633">
        <w:t>(…).</w:t>
      </w:r>
      <w:r w:rsidR="00525AF7">
        <w:t>Podmiotom władzy PRL możemy wręcz przypisać „zamkniętą tożsamość ateistyczną”,  która ma charakter adaptacyjny i jest warunkowana środowiskowo i nie jest efektem decyzji osobistej.</w:t>
      </w:r>
      <w:r w:rsidR="00C7546E">
        <w:rPr>
          <w:rStyle w:val="Odwoanieprzypisudolnego"/>
        </w:rPr>
        <w:footnoteReference w:id="81"/>
      </w:r>
      <w:r w:rsidR="00525AF7">
        <w:t xml:space="preserve"> Przedstawicie takiej władzy mogą przyjmować postawę fundamentalistycznego „ateizmu wojującego”</w:t>
      </w:r>
      <w:r w:rsidR="00527CB6">
        <w:t xml:space="preserve">- co dostrzegamy w kontaktach państwo- Kościół. Zachowania i decyzje władz partyjno-państwowych po 1944 r., a zwłaszcza w latach czterdziestych i pięćdziesiątych </w:t>
      </w:r>
      <w:r w:rsidR="00AF7E23">
        <w:t>były determinowan</w:t>
      </w:r>
      <w:r w:rsidR="00C41D87">
        <w:t>e</w:t>
      </w:r>
      <w:r w:rsidR="00AF7E23">
        <w:t xml:space="preserve">, jak pisze </w:t>
      </w:r>
      <w:r w:rsidR="00AF7E23">
        <w:lastRenderedPageBreak/>
        <w:t xml:space="preserve">Chlewiński strachem </w:t>
      </w:r>
      <w:r w:rsidR="00525AF7">
        <w:t xml:space="preserve">przed grupami/tendencjami aktywnymi i ekspansywnymi. </w:t>
      </w:r>
      <w:r w:rsidR="00AF7E23">
        <w:t xml:space="preserve">Taka postawa ma się kojarzyć z </w:t>
      </w:r>
      <w:r w:rsidR="00525AF7">
        <w:t>„niebezpieczeństwem utraty własnej tożsamości</w:t>
      </w:r>
      <w:r w:rsidR="00AF7E23">
        <w:t xml:space="preserve">”. Występuje tu również brak wiary w atrakcyjność własnej grupy. </w:t>
      </w:r>
      <w:r w:rsidR="00525AF7">
        <w:t xml:space="preserve"> </w:t>
      </w:r>
      <w:r w:rsidR="00AF7E23">
        <w:t>Tym samym jako zagrożenie postrzegane są również postawy tolerancyjne wobec grup o innych przekonaniach. Doskonałym przykładem jest tu zachowanie władzy po „cudzie lubelskim”. Z drugiej strony stosowana niekiedy „tolerancja” jest postrzegana przez władze jako środek do realizacji własnych celów. Tym samym budzi ona społeczne postawy buntu, czy obrony</w:t>
      </w:r>
      <w:r w:rsidR="00525AF7">
        <w:t>.</w:t>
      </w:r>
      <w:r w:rsidR="00880B62">
        <w:rPr>
          <w:rStyle w:val="Odwoanieprzypisudolnego"/>
        </w:rPr>
        <w:footnoteReference w:id="82"/>
      </w:r>
      <w:r w:rsidR="00525AF7">
        <w:t xml:space="preserve">  </w:t>
      </w:r>
    </w:p>
    <w:p w:rsidR="00262EF4" w:rsidRDefault="00525AF7" w:rsidP="00525AF7">
      <w:r>
        <w:t xml:space="preserve">Wspomniane wyżej działania polityczne władzy socjalistycznej wykazywały właśnie ową wyraźnie zamkniętą postawę wobec swoich oponentów społecznych, za których </w:t>
      </w:r>
      <w:r w:rsidR="00C41D87">
        <w:t>uważano</w:t>
      </w:r>
      <w:r>
        <w:t xml:space="preserve"> osoby wierzące, zwłaszcza należące do grup o wartości znaczącej- katolików i ich hierarchów duchownych. </w:t>
      </w:r>
      <w:r w:rsidR="00AF7E23">
        <w:t>Wypowiedzi gen. W. Jaruzelskiego</w:t>
      </w:r>
      <w:r w:rsidR="0079651B">
        <w:t xml:space="preserve"> w II połowie lat</w:t>
      </w:r>
      <w:r>
        <w:t xml:space="preserve">  80-tych świadczą o niezmienności postaw państwa- ośrodka władzy.  Z dużym prawdopodobieństwem można również dodać, że o tych właśnie dokumentach mógł myśleć gen. W. Jaruzelski, kiedy wygłaszał mowę</w:t>
      </w:r>
      <w:r w:rsidR="00C41D87">
        <w:t>, a</w:t>
      </w:r>
      <w:r>
        <w:t xml:space="preserve"> Polak na Stolicy Piotrowej nie zmieniał </w:t>
      </w:r>
      <w:r w:rsidR="00C41D87">
        <w:t xml:space="preserve">natury </w:t>
      </w:r>
      <w:r>
        <w:t>zasadniczego konfliktu</w:t>
      </w:r>
      <w:r w:rsidR="00C41D87">
        <w:t xml:space="preserve"> doktrynalnego między socjalistycznym państwem </w:t>
      </w:r>
      <w:r>
        <w:t xml:space="preserve">, a </w:t>
      </w:r>
      <w:r w:rsidR="00C41D87">
        <w:t>Watykanem. Nie wydaje się, aby władze partyjno-państwowe do 1989 r. wyszły poza perspektywę satelickiego państwa socjalistycznego.</w:t>
      </w:r>
      <w:r w:rsidR="00880B62">
        <w:rPr>
          <w:rStyle w:val="Odwoanieprzypisudolnego"/>
        </w:rPr>
        <w:footnoteReference w:id="83"/>
      </w:r>
    </w:p>
    <w:p w:rsidR="00262EF4" w:rsidRDefault="00262EF4" w:rsidP="00036660"/>
    <w:p w:rsidR="008F70C8" w:rsidRPr="00452E6F" w:rsidRDefault="008F70C8" w:rsidP="00036660">
      <w:r>
        <w:t xml:space="preserve"> </w:t>
      </w:r>
    </w:p>
    <w:sectPr w:rsidR="008F70C8" w:rsidRPr="00452E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7E8" w:rsidRDefault="005447E8" w:rsidP="00D47110">
      <w:pPr>
        <w:spacing w:line="240" w:lineRule="auto"/>
      </w:pPr>
      <w:r>
        <w:separator/>
      </w:r>
    </w:p>
  </w:endnote>
  <w:endnote w:type="continuationSeparator" w:id="0">
    <w:p w:rsidR="005447E8" w:rsidRDefault="005447E8" w:rsidP="00D47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486417"/>
      <w:docPartObj>
        <w:docPartGallery w:val="Page Numbers (Bottom of Page)"/>
        <w:docPartUnique/>
      </w:docPartObj>
    </w:sdtPr>
    <w:sdtContent>
      <w:p w:rsidR="00BF6DFD" w:rsidRDefault="00BF6DF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BF6DFD" w:rsidRDefault="00BF6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7E8" w:rsidRDefault="005447E8" w:rsidP="00D47110">
      <w:pPr>
        <w:spacing w:line="240" w:lineRule="auto"/>
      </w:pPr>
      <w:r>
        <w:separator/>
      </w:r>
    </w:p>
  </w:footnote>
  <w:footnote w:type="continuationSeparator" w:id="0">
    <w:p w:rsidR="005447E8" w:rsidRDefault="005447E8" w:rsidP="00D47110">
      <w:pPr>
        <w:spacing w:line="240" w:lineRule="auto"/>
      </w:pPr>
      <w:r>
        <w:continuationSeparator/>
      </w:r>
    </w:p>
  </w:footnote>
  <w:footnote w:id="1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Por. :</w:t>
      </w:r>
      <w:bookmarkStart w:id="0" w:name="_Hlk128531139"/>
      <w:r>
        <w:t xml:space="preserve"> H. </w:t>
      </w:r>
      <w:proofErr w:type="spellStart"/>
      <w:r>
        <w:t>Rarot</w:t>
      </w:r>
      <w:proofErr w:type="spellEnd"/>
      <w:r>
        <w:t xml:space="preserve">, </w:t>
      </w:r>
      <w:r w:rsidRPr="00DE3359">
        <w:rPr>
          <w:i/>
        </w:rPr>
        <w:t>Kryzys wartości duchowych i jego społeczne następstwa</w:t>
      </w:r>
      <w:r>
        <w:t xml:space="preserve">, </w:t>
      </w:r>
      <w:hyperlink r:id="rId1" w:history="1">
        <w:r w:rsidRPr="00442E57">
          <w:rPr>
            <w:rStyle w:val="Hipercze"/>
          </w:rPr>
          <w:t>https://journals.umcs.pl/kw/article/viewFile/8264/6046</w:t>
        </w:r>
      </w:hyperlink>
      <w:r>
        <w:t xml:space="preserve">, </w:t>
      </w:r>
      <w:hyperlink r:id="rId2" w:history="1">
        <w:r w:rsidRPr="008C5DF3">
          <w:rPr>
            <w:rStyle w:val="Hipercze"/>
          </w:rPr>
          <w:t>http://kulturaiwartosci.journals.umcs.pl</w:t>
        </w:r>
      </w:hyperlink>
      <w:r>
        <w:t xml:space="preserve">, [dostęp: 10.01.2023]. </w:t>
      </w:r>
    </w:p>
    <w:bookmarkEnd w:id="0"/>
  </w:footnote>
  <w:footnote w:id="2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bookmarkStart w:id="4" w:name="_Hlk128517007"/>
      <w:r w:rsidRPr="00D06212">
        <w:t xml:space="preserve">P. S. </w:t>
      </w:r>
      <w:proofErr w:type="spellStart"/>
      <w:r w:rsidRPr="00D06212">
        <w:t>Śmieja</w:t>
      </w:r>
      <w:proofErr w:type="spellEnd"/>
      <w:r w:rsidRPr="00D06212">
        <w:t xml:space="preserve">, </w:t>
      </w:r>
      <w:r w:rsidRPr="00DE3359">
        <w:rPr>
          <w:i/>
        </w:rPr>
        <w:t>Sumienie w świetle obowiązujących przepisów prawa</w:t>
      </w:r>
      <w:r>
        <w:rPr>
          <w:i/>
        </w:rPr>
        <w:t xml:space="preserve">, </w:t>
      </w:r>
      <w:r w:rsidRPr="00D06212">
        <w:t xml:space="preserve"> </w:t>
      </w:r>
      <w:hyperlink r:id="rId3" w:history="1">
        <w:r w:rsidRPr="006A0081">
          <w:rPr>
            <w:rStyle w:val="Hipercze"/>
          </w:rPr>
          <w:t>https://journals.umcs.pl/g/article/view/11031/8616</w:t>
        </w:r>
      </w:hyperlink>
      <w:r w:rsidRPr="00D06212">
        <w:t>,</w:t>
      </w:r>
      <w:r>
        <w:t xml:space="preserve">  </w:t>
      </w:r>
      <w:r w:rsidRPr="00D06212">
        <w:t xml:space="preserve"> [dostęp: 10.01.2023</w:t>
      </w:r>
      <w:r>
        <w:t>].</w:t>
      </w:r>
    </w:p>
  </w:footnote>
  <w:footnote w:id="3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K. Orzeszyna, </w:t>
      </w:r>
      <w:r w:rsidRPr="0013550E">
        <w:rPr>
          <w:i/>
        </w:rPr>
        <w:t>Klauzula sumienia jako gwarancja realizacji prawa do wolności sumienia</w:t>
      </w:r>
      <w:r>
        <w:t xml:space="preserve">, </w:t>
      </w:r>
      <w:hyperlink r:id="rId4" w:history="1">
        <w:r w:rsidRPr="009B3CFA">
          <w:rPr>
            <w:rStyle w:val="Hipercze"/>
          </w:rPr>
          <w:t>https://nil.org.pl/uploaded_files/1579514662_01b-orzeszyna.pdf</w:t>
        </w:r>
      </w:hyperlink>
      <w:r>
        <w:t>, [dostęp: 10.01.2023].</w:t>
      </w:r>
    </w:p>
  </w:footnote>
  <w:footnote w:id="4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1EDC">
        <w:t xml:space="preserve">V. </w:t>
      </w:r>
      <w:proofErr w:type="spellStart"/>
      <w:r w:rsidRPr="00071EDC">
        <w:t>Serzhanova</w:t>
      </w:r>
      <w:proofErr w:type="spellEnd"/>
      <w:r w:rsidRPr="00071EDC">
        <w:t xml:space="preserve">, E. </w:t>
      </w:r>
      <w:proofErr w:type="spellStart"/>
      <w:r w:rsidRPr="00071EDC">
        <w:t>Tuora-Schwierskott</w:t>
      </w:r>
      <w:proofErr w:type="spellEnd"/>
      <w:r w:rsidRPr="00071EDC">
        <w:t xml:space="preserve">, </w:t>
      </w:r>
      <w:r w:rsidRPr="0013550E">
        <w:rPr>
          <w:i/>
        </w:rPr>
        <w:t>Wolność sumienia i wyznania w konstytucji Rzeczypospolitej Polskiej</w:t>
      </w:r>
      <w:r>
        <w:t>,</w:t>
      </w:r>
      <w:r w:rsidRPr="00071EDC">
        <w:t xml:space="preserve"> </w:t>
      </w:r>
      <w:hyperlink r:id="rId5" w:history="1">
        <w:r w:rsidRPr="008C5DF3">
          <w:rPr>
            <w:rStyle w:val="Hipercze"/>
          </w:rPr>
          <w:t>https://prawo.ug.edu.pl/sites/default/files/_nodes/strona-pia/33461/files/serzhanova.pdf</w:t>
        </w:r>
      </w:hyperlink>
      <w:r w:rsidRPr="00071EDC">
        <w:t>,</w:t>
      </w:r>
      <w:r>
        <w:t xml:space="preserve"> </w:t>
      </w:r>
      <w:r w:rsidRPr="00071EDC">
        <w:t>[dostęp: 18. 01.2023]</w:t>
      </w:r>
      <w:r>
        <w:t xml:space="preserve">. </w:t>
      </w:r>
    </w:p>
  </w:footnote>
  <w:footnote w:id="5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5" w:name="_Hlk128531262"/>
      <w:r>
        <w:t xml:space="preserve">Por.: </w:t>
      </w:r>
      <w:r w:rsidRPr="00022C6F">
        <w:rPr>
          <w:i/>
        </w:rPr>
        <w:t>Ibidem.</w:t>
      </w:r>
    </w:p>
  </w:footnote>
  <w:footnote w:id="6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6" w:name="_Hlk128517046"/>
      <w:r w:rsidRPr="00DE3359">
        <w:rPr>
          <w:i/>
        </w:rPr>
        <w:t>Biblia</w:t>
      </w:r>
      <w:r>
        <w:t xml:space="preserve">, </w:t>
      </w:r>
      <w:r>
        <w:rPr>
          <w:i/>
        </w:rPr>
        <w:t xml:space="preserve">Pismo święte starego i nowego testamentu, </w:t>
      </w:r>
      <w:hyperlink r:id="rId6" w:history="1">
        <w:r w:rsidRPr="006A0081">
          <w:rPr>
            <w:rStyle w:val="Hipercze"/>
          </w:rPr>
          <w:t>https://biblia.deon.pl/rozdzial.php?id=1054</w:t>
        </w:r>
      </w:hyperlink>
      <w:r>
        <w:t xml:space="preserve">, [dostęp: 12.01.2023]. </w:t>
      </w:r>
    </w:p>
  </w:footnote>
  <w:footnote w:id="7">
    <w:p w:rsidR="00BF6DFD" w:rsidRPr="00A152D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R. Prostak, </w:t>
      </w:r>
      <w:r>
        <w:rPr>
          <w:i/>
        </w:rPr>
        <w:t xml:space="preserve">Ogród murem oddzielony od pustyni, Relacje Kościół- państwo, wolność sumienia i tolerancja religijna w myśli pierwszych baptystów, </w:t>
      </w:r>
      <w:r>
        <w:t xml:space="preserve">Warszawa 2020, s. 43- 44. </w:t>
      </w:r>
    </w:p>
  </w:footnote>
  <w:footnote w:id="8">
    <w:p w:rsidR="00BF6DFD" w:rsidRPr="00022C6F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6CCC">
        <w:rPr>
          <w:i/>
        </w:rPr>
        <w:t>Ibidem.</w:t>
      </w:r>
    </w:p>
  </w:footnote>
  <w:footnote w:id="9">
    <w:p w:rsidR="00BF6DFD" w:rsidRPr="00022C6F" w:rsidRDefault="00BF6DFD">
      <w:pPr>
        <w:pStyle w:val="Tekstprzypisudolnego"/>
        <w:rPr>
          <w:i/>
        </w:rPr>
      </w:pPr>
      <w:r>
        <w:rPr>
          <w:rStyle w:val="Odwoanieprzypisudolnego"/>
        </w:rPr>
        <w:footnoteRef/>
      </w:r>
      <w:r w:rsidRPr="00126CCC">
        <w:rPr>
          <w:i/>
        </w:rPr>
        <w:t>Ibidem</w:t>
      </w:r>
      <w:r>
        <w:t>, s. 45</w:t>
      </w:r>
    </w:p>
  </w:footnote>
  <w:footnote w:id="10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proofErr w:type="spellStart"/>
      <w:r>
        <w:t>National</w:t>
      </w:r>
      <w:proofErr w:type="spellEnd"/>
      <w:r>
        <w:t xml:space="preserve"> </w:t>
      </w:r>
      <w:proofErr w:type="spellStart"/>
      <w:r>
        <w:t>Archives</w:t>
      </w:r>
      <w:proofErr w:type="spellEnd"/>
      <w:r>
        <w:t xml:space="preserve">, The Bill of </w:t>
      </w:r>
      <w:proofErr w:type="spellStart"/>
      <w:r>
        <w:t>Rights</w:t>
      </w:r>
      <w:proofErr w:type="spellEnd"/>
      <w:r>
        <w:t xml:space="preserve">, </w:t>
      </w:r>
      <w:hyperlink r:id="rId7" w:history="1">
        <w:r w:rsidRPr="00442E57">
          <w:rPr>
            <w:rStyle w:val="Hipercze"/>
          </w:rPr>
          <w:t>https://www.archives.gov/founding-docs/bill-of-rights-transcript</w:t>
        </w:r>
      </w:hyperlink>
      <w:r>
        <w:t xml:space="preserve">, a  także, Deklaracja Praw Wirginii, </w:t>
      </w:r>
      <w:hyperlink r:id="rId8" w:history="1">
        <w:r w:rsidRPr="00FA6F6C">
          <w:rPr>
            <w:rStyle w:val="Hipercze"/>
          </w:rPr>
          <w:t>https://liberte.pl/deklaracja-praw-wirginii</w:t>
        </w:r>
      </w:hyperlink>
      <w:r>
        <w:t xml:space="preserve"> </w:t>
      </w:r>
      <w:r w:rsidRPr="00F95C33">
        <w:t xml:space="preserve">/ </w:t>
      </w:r>
      <w:r>
        <w:t>Więcej o historii rozwoju praw i wolności religijnych, por.: K. Kącka, Geneza i źródła wolności religii w europejskiej przestrzeni politycznej i prawnej,</w:t>
      </w:r>
      <w:r w:rsidRPr="00D57A6E">
        <w:t xml:space="preserve"> </w:t>
      </w:r>
      <w:hyperlink r:id="rId9" w:history="1">
        <w:r w:rsidRPr="006A0081">
          <w:rPr>
            <w:rStyle w:val="Hipercze"/>
          </w:rPr>
          <w:t>https://repozytorium.umk.pl/bitstream/handle/item/1205/Seminare_tom34-10-kacka.pdf?sequence=1</w:t>
        </w:r>
      </w:hyperlink>
      <w:r>
        <w:t>,  [dostęp: 12.01.2023].</w:t>
      </w:r>
    </w:p>
  </w:footnote>
  <w:footnote w:id="11">
    <w:p w:rsidR="00BF6DFD" w:rsidRDefault="00BF6DFD">
      <w:pPr>
        <w:pStyle w:val="Tekstprzypisudolnego"/>
      </w:pPr>
      <w:bookmarkStart w:id="7" w:name="_Hlk128517088"/>
      <w:r>
        <w:rPr>
          <w:rStyle w:val="Odwoanieprzypisudolnego"/>
        </w:rPr>
        <w:footnoteRef/>
      </w:r>
      <w:r>
        <w:t xml:space="preserve"> </w:t>
      </w:r>
      <w:bookmarkStart w:id="8" w:name="_Hlk128531365"/>
      <w:r>
        <w:t xml:space="preserve">Karta Narodów Zjednoczonych, </w:t>
      </w:r>
      <w:hyperlink r:id="rId10" w:history="1">
        <w:r w:rsidRPr="00442E57">
          <w:rPr>
            <w:rStyle w:val="Hipercze"/>
          </w:rPr>
          <w:t>https://www.bb.po.gov.pl/images/Prawa/PNZ/KNZ.pdf</w:t>
        </w:r>
      </w:hyperlink>
      <w:r>
        <w:t xml:space="preserve">, [dostęp: 15.02.2023]. </w:t>
      </w:r>
    </w:p>
  </w:footnote>
  <w:footnote w:id="12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Powszechna Deklaracja Praw Człowieka i Obywatela,  </w:t>
      </w:r>
      <w:hyperlink r:id="rId11" w:history="1">
        <w:r w:rsidRPr="00442E57">
          <w:rPr>
            <w:rStyle w:val="Hipercze"/>
          </w:rPr>
          <w:t>https://amnesty.org.pl/wp-content/uploads/2016/04/Powszechna_Deklaracja_Praw_Czlowieka.pdf</w:t>
        </w:r>
      </w:hyperlink>
      <w:r>
        <w:t xml:space="preserve">, [dostęp: 14.01.2023]. </w:t>
      </w:r>
    </w:p>
  </w:footnote>
  <w:footnote w:id="13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Konwencja UNESCO o zwalczaniu dyskryminacji w dziedzinie oświaty, </w:t>
      </w:r>
      <w:hyperlink r:id="rId12" w:history="1">
        <w:r w:rsidRPr="00FA6F6C">
          <w:rPr>
            <w:rStyle w:val="Hipercze"/>
          </w:rPr>
          <w:t>https://www.unesco.pl/fileadmin/user_upload/pdf/Konwencja_o_zwalczaniu_dyskryminacji_w__oswiacie.pdf</w:t>
        </w:r>
      </w:hyperlink>
      <w:r>
        <w:t>, [dostęp: 26.02.2023].</w:t>
      </w:r>
    </w:p>
  </w:footnote>
  <w:footnote w:id="14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Międzynarodowy Pakt Praw Obywatelskich i Politycznych, </w:t>
      </w:r>
      <w:hyperlink r:id="rId13" w:history="1">
        <w:r w:rsidRPr="00442E57">
          <w:rPr>
            <w:rStyle w:val="Hipercze"/>
          </w:rPr>
          <w:t>https://amnesty.org.pl/wpcontent/uploads/2016/04/Miedzynarodowy_Pakt_Praw_Obywatelskich_i_Politycznych.pdf</w:t>
        </w:r>
      </w:hyperlink>
      <w:r>
        <w:t xml:space="preserve">, </w:t>
      </w:r>
      <w:hyperlink r:id="rId14" w:history="1">
        <w:r w:rsidRPr="008C5DF3">
          <w:rPr>
            <w:rStyle w:val="Hipercze"/>
          </w:rPr>
          <w:t>https://liberte.pl/deklaracja-praw-wirginii/</w:t>
        </w:r>
      </w:hyperlink>
      <w:r>
        <w:t>,  [ dostęp: 14.01.2023].</w:t>
      </w:r>
    </w:p>
  </w:footnote>
  <w:footnote w:id="15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Deklaracja w sprawie eliminacji wszelkich form nietolerancji opartych na religii i przekonaniach, </w:t>
      </w:r>
      <w:hyperlink r:id="rId15" w:history="1">
        <w:r w:rsidRPr="00FA6F6C">
          <w:rPr>
            <w:rStyle w:val="Hipercze"/>
          </w:rPr>
          <w:t>http://libr.sejm.gov.pl/tek01/txt/onz/1981.html</w:t>
        </w:r>
      </w:hyperlink>
      <w:r>
        <w:t xml:space="preserve">, [dostęp: 14.01.2023]. </w:t>
      </w:r>
    </w:p>
  </w:footnote>
  <w:footnote w:id="16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Ustawa z 17 marca 1921- Konstytucja Rzeczypospolitej Polskiej, Dziennik Ustaw, 1921, nr 44, poz. 267, art. 111- 116, </w:t>
      </w:r>
      <w:hyperlink r:id="rId16" w:history="1">
        <w:r w:rsidRPr="00DD1F4F">
          <w:rPr>
            <w:rStyle w:val="Hipercze"/>
          </w:rPr>
          <w:t>https://isap.sejm.gov.pl/isap.nsf/DocDetails.xsp?id=WDU19210440267</w:t>
        </w:r>
      </w:hyperlink>
      <w:r>
        <w:t xml:space="preserve">, [dostęp: 15.01.2023].  </w:t>
      </w:r>
    </w:p>
    <w:p w:rsidR="00BF6DFD" w:rsidRDefault="00BF6DFD">
      <w:pPr>
        <w:pStyle w:val="Tekstprzypisudolnego"/>
      </w:pPr>
    </w:p>
  </w:footnote>
  <w:footnote w:id="17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6CCC">
        <w:rPr>
          <w:i/>
        </w:rPr>
        <w:t>Ibidem</w:t>
      </w:r>
      <w:r>
        <w:t xml:space="preserve">. </w:t>
      </w:r>
    </w:p>
  </w:footnote>
  <w:footnote w:id="18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Ustawa Konstytucyjna z 23 kwietnia 1935 r., </w:t>
      </w:r>
      <w:hyperlink r:id="rId17" w:history="1">
        <w:r w:rsidRPr="00DD1F4F">
          <w:rPr>
            <w:rStyle w:val="Hipercze"/>
          </w:rPr>
          <w:t>http://libr.sejm.gov.pl/tek01/txt/kpol/1935.html</w:t>
        </w:r>
      </w:hyperlink>
      <w:r>
        <w:t xml:space="preserve">, [dostęp: 18.01.2023]. </w:t>
      </w:r>
    </w:p>
  </w:footnote>
  <w:footnote w:id="19">
    <w:p w:rsidR="00BF6DFD" w:rsidRDefault="00BF6DFD">
      <w:pPr>
        <w:pStyle w:val="Tekstprzypisudolnego"/>
      </w:pPr>
      <w:bookmarkStart w:id="9" w:name="_Hlk128517124"/>
      <w:r>
        <w:rPr>
          <w:rStyle w:val="Odwoanieprzypisudolnego"/>
        </w:rPr>
        <w:footnoteRef/>
      </w:r>
      <w:r>
        <w:t xml:space="preserve"> </w:t>
      </w:r>
      <w:bookmarkStart w:id="10" w:name="_Hlk128531408"/>
      <w:r>
        <w:t xml:space="preserve">Manifest PKWN, Wolność, R. 1, Nr 1, </w:t>
      </w:r>
      <w:hyperlink r:id="rId18" w:anchor="img-2" w:history="1">
        <w:r w:rsidRPr="00442E57">
          <w:rPr>
            <w:rStyle w:val="Hipercze"/>
          </w:rPr>
          <w:t>https://onebid.pl/pl/ksiazki-i-starodruki-wolnosc-r-1-nr-1-24-08-1944-manifest-pkwn/1322751#img-2</w:t>
        </w:r>
      </w:hyperlink>
      <w:r>
        <w:t>, [dostęp: 19.01.2023].</w:t>
      </w:r>
    </w:p>
  </w:footnote>
  <w:footnote w:id="20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B. </w:t>
      </w:r>
      <w:proofErr w:type="spellStart"/>
      <w:r>
        <w:t>Noszczak</w:t>
      </w:r>
      <w:proofErr w:type="spellEnd"/>
      <w:r>
        <w:t xml:space="preserve">, </w:t>
      </w:r>
      <w:r w:rsidRPr="00194E45">
        <w:rPr>
          <w:i/>
        </w:rPr>
        <w:t>P</w:t>
      </w:r>
      <w:r>
        <w:rPr>
          <w:i/>
        </w:rPr>
        <w:t>olityka państwa wobec kościoła rzymskokatolickiego w Polsce w okresie internowania prymasa Stefana Wyszyńskiego1953- 1956,</w:t>
      </w:r>
      <w:r>
        <w:t xml:space="preserve"> </w:t>
      </w:r>
      <w:hyperlink r:id="rId19" w:history="1">
        <w:r w:rsidRPr="00442E57">
          <w:rPr>
            <w:rStyle w:val="Hipercze"/>
          </w:rPr>
          <w:t>https://przystanekhistoria.pl/pa2/biblioteka-cyfrowa/publikacje/23842,Polityka-panstwa-wobec-Kosciola-rzymskokatolickiego-w-Polsce-w-okresie-internowa.html</w:t>
        </w:r>
      </w:hyperlink>
      <w:r>
        <w:t xml:space="preserve">, [dostęp: 11.01.2023]. </w:t>
      </w:r>
    </w:p>
  </w:footnote>
  <w:footnote w:id="21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Por.: P. Borecki, </w:t>
      </w:r>
      <w:r>
        <w:rPr>
          <w:i/>
        </w:rPr>
        <w:t xml:space="preserve">Na drodze do konkordatu. Geneza projektu konwencji z 1988 r. między PRL a Watykanem, </w:t>
      </w:r>
      <w:hyperlink r:id="rId20" w:history="1">
        <w:r w:rsidRPr="00442E57">
          <w:rPr>
            <w:rStyle w:val="Hipercze"/>
          </w:rPr>
          <w:t>http://www.racjonalista.pl/kk.php/s,6628</w:t>
        </w:r>
      </w:hyperlink>
      <w:r>
        <w:t xml:space="preserve">, [dostęp: 11.02.2023]. </w:t>
      </w:r>
    </w:p>
  </w:footnote>
  <w:footnote w:id="22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B. </w:t>
      </w:r>
      <w:proofErr w:type="spellStart"/>
      <w:r>
        <w:t>Noszczak</w:t>
      </w:r>
      <w:proofErr w:type="spellEnd"/>
      <w:r>
        <w:t xml:space="preserve">, </w:t>
      </w:r>
      <w:r>
        <w:rPr>
          <w:i/>
        </w:rPr>
        <w:t xml:space="preserve">Polityka…, op. cit. </w:t>
      </w:r>
      <w:r>
        <w:t xml:space="preserve"> </w:t>
      </w:r>
      <w:hyperlink r:id="rId21" w:history="1">
        <w:r w:rsidRPr="009B3CFA">
          <w:rPr>
            <w:rStyle w:val="Hipercze"/>
          </w:rPr>
          <w:t>https://przystanekhistoria.pl/pa2/biblioteka-cyfrowa/publikacje/23842,Polityka-panstwa-wobec-Kosciola-rzymskokatolickiego-w-Polsce-w-okresie-internowa.html</w:t>
        </w:r>
      </w:hyperlink>
      <w:r w:rsidRPr="0019795A">
        <w:t>,</w:t>
      </w:r>
      <w:r>
        <w:t xml:space="preserve"> [dostęp: 12.02.2023].  </w:t>
      </w:r>
    </w:p>
  </w:footnote>
  <w:footnote w:id="23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</w:t>
      </w:r>
      <w:r>
        <w:t xml:space="preserve">. </w:t>
      </w:r>
    </w:p>
  </w:footnote>
  <w:footnote w:id="24">
    <w:p w:rsidR="00BF6DFD" w:rsidRDefault="00BF6DFD">
      <w:pPr>
        <w:pStyle w:val="Tekstprzypisudolnego"/>
      </w:pPr>
      <w:bookmarkStart w:id="11" w:name="_Hlk128517156"/>
      <w:r>
        <w:rPr>
          <w:rStyle w:val="Odwoanieprzypisudolnego"/>
        </w:rPr>
        <w:footnoteRef/>
      </w:r>
      <w:r>
        <w:t xml:space="preserve"> </w:t>
      </w:r>
      <w:r w:rsidRPr="00194E45">
        <w:rPr>
          <w:i/>
        </w:rPr>
        <w:t>Ibidem</w:t>
      </w:r>
      <w:r>
        <w:t xml:space="preserve">. </w:t>
      </w:r>
    </w:p>
  </w:footnote>
  <w:footnote w:id="25">
    <w:p w:rsidR="00BF6DFD" w:rsidRDefault="00BF6DFD" w:rsidP="00153E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3" w:name="_Hlk128531448"/>
      <w:r>
        <w:t xml:space="preserve">Por.: M. Gwóźdź, </w:t>
      </w:r>
      <w:r>
        <w:rPr>
          <w:i/>
        </w:rPr>
        <w:t xml:space="preserve">Współudział wiernych katolików i protestantów w czynnościach świętych w świetle prawodawstwa kościoła rzymskokatolickiego, </w:t>
      </w:r>
      <w:hyperlink r:id="rId22" w:history="1">
        <w:r w:rsidRPr="00153EFB">
          <w:rPr>
            <w:rStyle w:val="Hipercze"/>
          </w:rPr>
          <w:t>https://rebus.us.edu.pl/bitstream/20.500.12128/10212/1/Gwozdz_Wspoludzial_wiernych_katolikow_i_protestantow.pdf</w:t>
        </w:r>
      </w:hyperlink>
      <w:r w:rsidRPr="00153EFB">
        <w:t>,</w:t>
      </w:r>
      <w:r>
        <w:rPr>
          <w:i/>
        </w:rPr>
        <w:t xml:space="preserve"> </w:t>
      </w:r>
      <w:r>
        <w:t>[dostęp: 12.02.2023].</w:t>
      </w:r>
    </w:p>
  </w:footnote>
  <w:footnote w:id="26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Dekret z dnia 5 sierpnia 1949 r. o ochronie wolności sumienia i wyznania,  </w:t>
      </w:r>
      <w:hyperlink r:id="rId23" w:history="1">
        <w:r w:rsidRPr="00442E57">
          <w:rPr>
            <w:rStyle w:val="Hipercze"/>
          </w:rPr>
          <w:t>https://isap.sejm.gov.pl/isap.nsf/download.xsp/WDU19490450334/O/D19490334.pdf</w:t>
        </w:r>
      </w:hyperlink>
      <w:r>
        <w:t xml:space="preserve">, [dostęp: 12.02.2023]. </w:t>
      </w:r>
    </w:p>
  </w:footnote>
  <w:footnote w:id="27">
    <w:p w:rsidR="00BF6DFD" w:rsidRPr="00C86A69" w:rsidRDefault="00BF6DFD" w:rsidP="00C86A69">
      <w:pPr>
        <w:pStyle w:val="Tekstprzypisudolnego"/>
        <w:rPr>
          <w:highlight w:val="green"/>
        </w:rPr>
      </w:pPr>
      <w:r>
        <w:rPr>
          <w:rStyle w:val="Odwoanieprzypisudolnego"/>
        </w:rPr>
        <w:footnoteRef/>
      </w:r>
      <w:r>
        <w:t xml:space="preserve"> Dekret z 13 czerwca 1946 r. O przestępstwach szczególnie niebezpiecznych w okresie odbudowy państwa, </w:t>
      </w:r>
      <w:r w:rsidRPr="00C86A69">
        <w:t>Dz.U. R. P. nr 30, poz. 152,</w:t>
      </w:r>
      <w:r>
        <w:rPr>
          <w:highlight w:val="green"/>
        </w:rPr>
        <w:t xml:space="preserve"> </w:t>
      </w:r>
      <w:hyperlink r:id="rId24" w:history="1">
        <w:r w:rsidRPr="00442E57">
          <w:rPr>
            <w:rStyle w:val="Hipercze"/>
          </w:rPr>
          <w:t>https://iura.uj.edu.pl/Content/538/PDF/mkk%20dekret%20z%2013%2006%201946%20o%20przestepstwach%20szczegolnie%20niebezpiecznych.pdf</w:t>
        </w:r>
      </w:hyperlink>
      <w:r>
        <w:t xml:space="preserve">, [dostęp: 20.02.2023]. </w:t>
      </w:r>
    </w:p>
  </w:footnote>
  <w:footnote w:id="28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T. Szczygieł, </w:t>
      </w:r>
      <w:r>
        <w:rPr>
          <w:i/>
        </w:rPr>
        <w:t>Kwestia „ochrony” wolności sumienia i wyznania w toku prac nad kodyfikacją prawa karnego Polskiej Rzeczypospolitej Ludowej 1949- 1969</w:t>
      </w:r>
      <w:r>
        <w:t>,</w:t>
      </w:r>
      <w:r>
        <w:rPr>
          <w:i/>
        </w:rPr>
        <w:t xml:space="preserve"> </w:t>
      </w:r>
      <w:hyperlink r:id="rId25" w:history="1">
        <w:r w:rsidRPr="00442E57">
          <w:rPr>
            <w:rStyle w:val="Hipercze"/>
          </w:rPr>
          <w:t>https://rebus.us.edu.pl/bitstream/20.500.12128/19786/1/Szczygiel_Kwestia_ochrony_wolnosci.pdf</w:t>
        </w:r>
      </w:hyperlink>
      <w:r>
        <w:t xml:space="preserve">, [dostęp: 23.02.2023]. </w:t>
      </w:r>
    </w:p>
  </w:footnote>
  <w:footnote w:id="29">
    <w:p w:rsidR="00BF6DFD" w:rsidRPr="005875F2" w:rsidRDefault="00BF6DFD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.</w:t>
      </w:r>
      <w:r>
        <w:rPr>
          <w:i/>
        </w:rPr>
        <w:t>Ibidem</w:t>
      </w:r>
    </w:p>
  </w:footnote>
  <w:footnote w:id="30">
    <w:p w:rsidR="00BF6DFD" w:rsidRDefault="00BF6DFD">
      <w:pPr>
        <w:pStyle w:val="Tekstprzypisudolnego"/>
      </w:pPr>
      <w:bookmarkStart w:id="14" w:name="_Hlk128517187"/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</w:t>
      </w:r>
      <w:r>
        <w:t xml:space="preserve">, por. też: J. Wróblewski, </w:t>
      </w:r>
      <w:r>
        <w:rPr>
          <w:i/>
        </w:rPr>
        <w:t>Prof. Jan Żaryn przypomina: Ekskomunika na komunistów nadal obowiązuje,</w:t>
      </w:r>
      <w:r>
        <w:t xml:space="preserve">   </w:t>
      </w:r>
      <w:hyperlink r:id="rId26" w:history="1">
        <w:r w:rsidRPr="009B3CFA">
          <w:rPr>
            <w:rStyle w:val="Hipercze"/>
          </w:rPr>
          <w:t>https://www.bibula.com/?p=58804</w:t>
        </w:r>
      </w:hyperlink>
      <w:r>
        <w:t xml:space="preserve">, [dostęp: 23.02.2023]. </w:t>
      </w:r>
    </w:p>
  </w:footnote>
  <w:footnote w:id="31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Dekret przewidywał obowiązek rejestracji stowarzyszeń w przeciągu 3 miesięcy, inaczej ulegały one rozwiązaniu. Rejestracja służyła też rozeznaniu aparatu władzy co do wielkości i charakteru stowarzyszeń, </w:t>
      </w:r>
      <w:bookmarkStart w:id="15" w:name="_Hlk128531482"/>
      <w:r>
        <w:t xml:space="preserve">zwłaszcza katolickich, por. : Dekret z dnia 5 sierpnia 1949 r. o zmianie niektórych przepisów prawa o stowarzyszeniach, </w:t>
      </w:r>
      <w:hyperlink r:id="rId27" w:history="1">
        <w:r w:rsidRPr="00442E57">
          <w:rPr>
            <w:rStyle w:val="Hipercze"/>
          </w:rPr>
          <w:t>https://isap.sejm.gov.pl/isap.nsf/DocDetails.xsp?id=WDU19490450335</w:t>
        </w:r>
      </w:hyperlink>
      <w:r>
        <w:t xml:space="preserve">, [dostęp: 21.02.2023]. </w:t>
      </w:r>
    </w:p>
  </w:footnote>
  <w:footnote w:id="32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B. </w:t>
      </w:r>
      <w:proofErr w:type="spellStart"/>
      <w:r>
        <w:t>Noszczak</w:t>
      </w:r>
      <w:proofErr w:type="spellEnd"/>
      <w:r>
        <w:t xml:space="preserve">, </w:t>
      </w:r>
      <w:r>
        <w:rPr>
          <w:i/>
        </w:rPr>
        <w:t>Polityka państwa…</w:t>
      </w:r>
      <w:bookmarkStart w:id="16" w:name="_Hlk128078146"/>
      <w:r>
        <w:t xml:space="preserve">, </w:t>
      </w:r>
      <w:r>
        <w:rPr>
          <w:i/>
        </w:rPr>
        <w:t>op. cit</w:t>
      </w:r>
      <w:bookmarkEnd w:id="16"/>
      <w:r>
        <w:t>.</w:t>
      </w:r>
    </w:p>
  </w:footnote>
  <w:footnote w:id="33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Por.: J. Żaryn, </w:t>
      </w:r>
      <w:r w:rsidRPr="00B05AF3">
        <w:rPr>
          <w:i/>
        </w:rPr>
        <w:t>Nieznany list Prymasa Polski Stefana Wyszyńskiego do Stolicy Apostolskiej w sprawie tzw. porozumienia z rządem z 14 kwietnia 1950 r</w:t>
      </w:r>
      <w:r>
        <w:t xml:space="preserve">.,  </w:t>
      </w:r>
      <w:hyperlink r:id="rId28" w:history="1">
        <w:r w:rsidRPr="00442E57">
          <w:rPr>
            <w:rStyle w:val="Hipercze"/>
          </w:rPr>
          <w:t>https://rcin.org.pl/Content/59558/WA303_79277_B155-Polska-T-2-1997_Zaryn.pdf</w:t>
        </w:r>
      </w:hyperlink>
      <w:r>
        <w:t xml:space="preserve">, również: </w:t>
      </w:r>
      <w:bookmarkStart w:id="17" w:name="_Hlk128325813"/>
      <w:r>
        <w:t xml:space="preserve">J. Krukowski, </w:t>
      </w:r>
      <w:r w:rsidRPr="00B05AF3">
        <w:rPr>
          <w:i/>
        </w:rPr>
        <w:t>Wkład Prymasa</w:t>
      </w:r>
      <w:bookmarkEnd w:id="17"/>
      <w:r w:rsidRPr="00B05AF3">
        <w:rPr>
          <w:i/>
        </w:rPr>
        <w:t xml:space="preserve"> Polski Stefana kard. Wyszyńskiego i papieża Jana Pawła II w normalizację stosunków między państwem a Kościołem,</w:t>
      </w:r>
      <w:r>
        <w:t xml:space="preserve"> </w:t>
      </w:r>
      <w:hyperlink r:id="rId29" w:history="1">
        <w:r w:rsidRPr="00442E57">
          <w:rPr>
            <w:rStyle w:val="Hipercze"/>
          </w:rPr>
          <w:t>http://www.stowarzyszeniekanonistow.pl/wp-content/uploads/2020/08/Krukowski_2020.pdf</w:t>
        </w:r>
      </w:hyperlink>
      <w:r>
        <w:t xml:space="preserve">, [dostęp: 12.02.2023]. </w:t>
      </w:r>
    </w:p>
  </w:footnote>
  <w:footnote w:id="34">
    <w:p w:rsidR="00BF6DFD" w:rsidRPr="00B05AF3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>
        <w:rPr>
          <w:i/>
        </w:rPr>
        <w:t>Ibidem</w:t>
      </w:r>
      <w:r>
        <w:t xml:space="preserve">.  </w:t>
      </w:r>
    </w:p>
  </w:footnote>
  <w:footnote w:id="35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Uchwała Rady Ministrów z 27 maja 1950 r. w sprawie tymczasowego statutu  Urzędu do Spraw Wyznań, </w:t>
      </w:r>
      <w:hyperlink r:id="rId30" w:history="1">
        <w:r w:rsidRPr="00442E57">
          <w:rPr>
            <w:rStyle w:val="Hipercze"/>
          </w:rPr>
          <w:t>https://isap.sejm.gov.pl/isap.nsf/download.xsp/WMP19500780905/O/M19500905.pdf</w:t>
        </w:r>
      </w:hyperlink>
      <w:r>
        <w:t>, [dostęp: 15.02.2023].</w:t>
      </w:r>
    </w:p>
  </w:footnote>
  <w:footnote w:id="36">
    <w:p w:rsidR="00BF6DFD" w:rsidRPr="00E8408B" w:rsidRDefault="00BF6DFD">
      <w:pPr>
        <w:pStyle w:val="Tekstprzypisudolnego"/>
      </w:pPr>
      <w:bookmarkStart w:id="18" w:name="_Hlk128517221"/>
      <w:r>
        <w:rPr>
          <w:rStyle w:val="Odwoanieprzypisudolnego"/>
        </w:rPr>
        <w:footnoteRef/>
      </w:r>
      <w:r>
        <w:t xml:space="preserve"> Dekret z dnia 9 lutego o obsadzaniu duchownych stanowisk kościelnych,   </w:t>
      </w:r>
      <w:hyperlink r:id="rId31" w:history="1">
        <w:r w:rsidRPr="00442E57">
          <w:rPr>
            <w:rStyle w:val="Hipercze"/>
          </w:rPr>
          <w:t>https://isap.sejm.gov.pl/isap.nsf/DocDetails.xsp?id=WDU19530100032</w:t>
        </w:r>
      </w:hyperlink>
      <w:r>
        <w:t xml:space="preserve">;  a także: B. </w:t>
      </w:r>
      <w:proofErr w:type="spellStart"/>
      <w:r>
        <w:t>Noszczak</w:t>
      </w:r>
      <w:proofErr w:type="spellEnd"/>
      <w:r>
        <w:t xml:space="preserve">, </w:t>
      </w:r>
      <w:r>
        <w:rPr>
          <w:i/>
        </w:rPr>
        <w:t xml:space="preserve">Polityka państwa…, op. cit., </w:t>
      </w:r>
      <w:r>
        <w:t xml:space="preserve">por. też.: P. Chmielecki, </w:t>
      </w:r>
      <w:r>
        <w:rPr>
          <w:i/>
        </w:rPr>
        <w:t xml:space="preserve">Sposoby walki z kościołem w PRL w latach czterdziestych i pięćdziesiątych XX w., </w:t>
      </w:r>
      <w:bookmarkStart w:id="19" w:name="_Hlk128531513"/>
      <w:r>
        <w:fldChar w:fldCharType="begin"/>
      </w:r>
      <w:r>
        <w:instrText xml:space="preserve"> HYPERLINK "http://cejsh.icm.edu.pl/cejsh/element/bwmeta1.element.desklight-0bf6f13a-4ef0-4d1e-adc4-a4812883d9cd" </w:instrText>
      </w:r>
      <w:r>
        <w:fldChar w:fldCharType="separate"/>
      </w:r>
      <w:r w:rsidRPr="00E8408B">
        <w:rPr>
          <w:rStyle w:val="Hipercze"/>
        </w:rPr>
        <w:t>http://cejsh.icm.edu.pl/cejsh/element/bwmeta1.element.desklight-0bf6f13a-4ef0-4d1e-adc4-a4812883d9cd</w:t>
      </w:r>
      <w:r>
        <w:rPr>
          <w:rStyle w:val="Hipercze"/>
        </w:rPr>
        <w:fldChar w:fldCharType="end"/>
      </w:r>
      <w:r w:rsidRPr="00E8408B">
        <w:t>,</w:t>
      </w:r>
      <w:r>
        <w:rPr>
          <w:i/>
        </w:rPr>
        <w:t xml:space="preserve"> </w:t>
      </w:r>
      <w:r>
        <w:t>[dostęp; 09.02.2023].</w:t>
      </w:r>
    </w:p>
  </w:footnote>
  <w:footnote w:id="37">
    <w:p w:rsidR="00BF6DFD" w:rsidRPr="008F70C8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Po.: A. P. </w:t>
      </w:r>
      <w:proofErr w:type="spellStart"/>
      <w:r>
        <w:t>Dydycz</w:t>
      </w:r>
      <w:proofErr w:type="spellEnd"/>
      <w:r>
        <w:t>, „</w:t>
      </w:r>
      <w:r>
        <w:rPr>
          <w:i/>
        </w:rPr>
        <w:t xml:space="preserve">Non Possumus”. Represje wobec Kościoła katolickiego i Prymasa Stefana Wyszyńskiego w 1953 </w:t>
      </w:r>
      <w:proofErr w:type="spellStart"/>
      <w:r>
        <w:rPr>
          <w:i/>
        </w:rPr>
        <w:t>r.w</w:t>
      </w:r>
      <w:proofErr w:type="spellEnd"/>
      <w:r>
        <w:rPr>
          <w:i/>
        </w:rPr>
        <w:t xml:space="preserve"> świetle doniesień prasowych tego okresu, </w:t>
      </w:r>
      <w:hyperlink r:id="rId32" w:anchor="fullTextFileContent" w:history="1">
        <w:r w:rsidRPr="008F70C8">
          <w:rPr>
            <w:rStyle w:val="Hipercze"/>
          </w:rPr>
          <w:t>https://www.researchgate.net/publication/363899146_Non_possumus_Represje_wobec_Kosciola_katolickiego_i_Prymasa_Stefana_Wyszynskiego_w_1953_r_w_swietle_doniesien_prasowych_tego_okresu#fullTextFileContent</w:t>
        </w:r>
      </w:hyperlink>
      <w:r w:rsidRPr="008F70C8">
        <w:t>,</w:t>
      </w:r>
      <w:r>
        <w:rPr>
          <w:i/>
        </w:rPr>
        <w:t xml:space="preserve"> </w:t>
      </w:r>
      <w:r>
        <w:t>[dostęp: 12.02.2023].</w:t>
      </w:r>
    </w:p>
  </w:footnote>
  <w:footnote w:id="38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6B4">
        <w:t>Ustawa Konstytucyjna z dnia 19 lutego 1947 r. o ustroju i zakresie działania najwyższych organów Rzeczypospolitej Polskiej</w:t>
      </w:r>
      <w:r>
        <w:t>, „</w:t>
      </w:r>
      <w:r w:rsidRPr="00AE06B4">
        <w:t>Dz</w:t>
      </w:r>
      <w:r>
        <w:t xml:space="preserve">iennik </w:t>
      </w:r>
      <w:r w:rsidRPr="00AE06B4">
        <w:t>U</w:t>
      </w:r>
      <w:r>
        <w:t xml:space="preserve">staw”, </w:t>
      </w:r>
      <w:r w:rsidRPr="00AE06B4">
        <w:t xml:space="preserve"> nr 18, poz. 71, Konstytucja Polskiej Rzeczypospolitej Ludowej z dnia 22 lipca 1952 r.</w:t>
      </w:r>
      <w:r>
        <w:t>, „</w:t>
      </w:r>
      <w:r w:rsidRPr="00AE06B4">
        <w:t>Dz. U.</w:t>
      </w:r>
      <w:r>
        <w:t>,”</w:t>
      </w:r>
      <w:r w:rsidRPr="00AE06B4">
        <w:t xml:space="preserve"> nr 33, poz. 232, Ustawa z dnia 20 marca 1950 r. o przejęciu przez państwo dóbr martwej ręki, poręczeniu proboszczom posiadania gospodarstw rolnych i utworzeniu Funduszu Kościelnego</w:t>
      </w:r>
      <w:r>
        <w:t>,”</w:t>
      </w:r>
      <w:proofErr w:type="spellStart"/>
      <w:r w:rsidRPr="00AE06B4">
        <w:t>Dz</w:t>
      </w:r>
      <w:proofErr w:type="spellEnd"/>
      <w:r w:rsidRPr="00AE06B4">
        <w:t>. U.</w:t>
      </w:r>
      <w:r>
        <w:t>”,</w:t>
      </w:r>
      <w:r w:rsidRPr="00AE06B4">
        <w:t xml:space="preserve"> nr 9, poz. 87, Ustawa z dnia 19 kwietnia 1950 r. o zmianie organizacji naczelnych władz państwowych w zakresie gospodarki komunalnej i administracji publicznej</w:t>
      </w:r>
      <w:r>
        <w:t>, „</w:t>
      </w:r>
      <w:r w:rsidRPr="00AE06B4">
        <w:t>Dz. U.</w:t>
      </w:r>
      <w:r>
        <w:t>”,</w:t>
      </w:r>
      <w:r w:rsidRPr="00AE06B4">
        <w:t xml:space="preserve"> nr 19, poz. 156), Ustawa z dnia 23 czerwca 1971 r. o przejściu na osoby prawne Kościoła rzymskokatolickiego oraz innych Kościołów i związków wyznaniowych własności niektórych nieruchomości położonych na ziemiach zachodnich i północnych</w:t>
      </w:r>
      <w:r>
        <w:t>, „</w:t>
      </w:r>
      <w:r w:rsidRPr="00AE06B4">
        <w:t>Dz. U.</w:t>
      </w:r>
      <w:r>
        <w:t xml:space="preserve">”, </w:t>
      </w:r>
      <w:r w:rsidRPr="00AE06B4">
        <w:t xml:space="preserve"> nr 16, poz. 156, Ustawa z dnia 31 grudnia 1981 r. o kontroli prasy, publikacji i widowisk</w:t>
      </w:r>
      <w:r>
        <w:t>, „</w:t>
      </w:r>
      <w:r w:rsidRPr="00AE06B4">
        <w:t>Dz. U.</w:t>
      </w:r>
      <w:r>
        <w:t xml:space="preserve">”, </w:t>
      </w:r>
      <w:r w:rsidRPr="00AE06B4">
        <w:t xml:space="preserve"> nr</w:t>
      </w:r>
      <w:r>
        <w:t xml:space="preserve"> </w:t>
      </w:r>
      <w:r w:rsidRPr="00AE06B4">
        <w:t>20, poz. 99,  Ustawa z dnia 8 października 1982 r. o związkach zawodowych</w:t>
      </w:r>
      <w:r>
        <w:t>, „</w:t>
      </w:r>
      <w:r w:rsidRPr="00AE06B4">
        <w:t>Dz. U.</w:t>
      </w:r>
      <w:r>
        <w:t xml:space="preserve">”, </w:t>
      </w:r>
      <w:r w:rsidRPr="00AE06B4">
        <w:t xml:space="preserve"> nr 32, poz.216,  Dekret z dnia 25 września 1945 r. – Prawo o aktach stanu cywilnego</w:t>
      </w:r>
      <w:r>
        <w:t>, „</w:t>
      </w:r>
      <w:r w:rsidRPr="00AE06B4">
        <w:t>Dz. U.</w:t>
      </w:r>
      <w:r>
        <w:t>”,</w:t>
      </w:r>
      <w:r w:rsidRPr="00AE06B4">
        <w:t xml:space="preserve"> nr 48, poz. 271,  Dekret z dnia 31 grudnia 1956 r. o organizowaniu i obsadzaniu stanowisk kościelnych</w:t>
      </w:r>
      <w:r>
        <w:t>, „</w:t>
      </w:r>
      <w:r w:rsidRPr="00AE06B4">
        <w:t>Dz. U.</w:t>
      </w:r>
      <w:r>
        <w:t>”,</w:t>
      </w:r>
      <w:r w:rsidRPr="00AE06B4">
        <w:t xml:space="preserve"> z 1957 r., nr 1, poz. 6, Dekret z dnia 12 grudnia 1981 r. o stanie wojennym</w:t>
      </w:r>
      <w:r>
        <w:t>, „</w:t>
      </w:r>
      <w:r w:rsidRPr="00AE06B4">
        <w:t>Dz. U.</w:t>
      </w:r>
      <w:r>
        <w:t xml:space="preserve">”, </w:t>
      </w:r>
      <w:r w:rsidRPr="00AE06B4">
        <w:t xml:space="preserve"> nr 29, poz. 154, Rozporządzenie Ministra Skarbu z dnia 5 lipca 1949 r. o obowiązku prowadzenia ksiąg podatkowych przez duchownych</w:t>
      </w:r>
      <w:r>
        <w:t>, „</w:t>
      </w:r>
      <w:r w:rsidRPr="00AE06B4">
        <w:t>Dz. U.</w:t>
      </w:r>
      <w:r>
        <w:t xml:space="preserve">”, </w:t>
      </w:r>
      <w:r w:rsidRPr="00AE06B4">
        <w:t xml:space="preserve"> nr 40, poz. 292,  Rozporządzenie Ministra Finansów z dnia 10 lutego 1972 r. zmieniające rozporządzenie w sprawnie prowadzenia ksiąg przez kościelne osoby prawne oraz zakony i kongregacje duchowne</w:t>
      </w:r>
      <w:r>
        <w:t>, „</w:t>
      </w:r>
      <w:r w:rsidRPr="00AE06B4">
        <w:t>Dz. U.</w:t>
      </w:r>
      <w:r>
        <w:t xml:space="preserve">”, </w:t>
      </w:r>
      <w:r w:rsidRPr="00AE06B4">
        <w:t xml:space="preserve"> nr 6, poz. 35).</w:t>
      </w:r>
    </w:p>
  </w:footnote>
  <w:footnote w:id="39">
    <w:p w:rsidR="00BF6DFD" w:rsidRDefault="00BF6DFD">
      <w:pPr>
        <w:pStyle w:val="Tekstprzypisudolnego"/>
      </w:pPr>
      <w:bookmarkStart w:id="20" w:name="_Hlk128517262"/>
      <w:r>
        <w:rPr>
          <w:rStyle w:val="Odwoanieprzypisudolnego"/>
        </w:rPr>
        <w:footnoteRef/>
      </w:r>
      <w:r>
        <w:t xml:space="preserve"> </w:t>
      </w:r>
      <w:r w:rsidRPr="004618B5">
        <w:t xml:space="preserve">J. Krukowski, </w:t>
      </w:r>
      <w:r w:rsidRPr="00BF6DFD">
        <w:rPr>
          <w:i/>
        </w:rPr>
        <w:t>Wkład Prymasa</w:t>
      </w:r>
      <w:r>
        <w:t xml:space="preserve">…, </w:t>
      </w:r>
      <w:r w:rsidRPr="004618B5">
        <w:rPr>
          <w:i/>
        </w:rPr>
        <w:t>op. cit.</w:t>
      </w:r>
      <w:r>
        <w:t xml:space="preserve"> </w:t>
      </w:r>
    </w:p>
  </w:footnote>
  <w:footnote w:id="40">
    <w:p w:rsidR="00BF6DFD" w:rsidRPr="00532615" w:rsidRDefault="00BF6DFD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Ibidem. </w:t>
      </w:r>
    </w:p>
  </w:footnote>
  <w:footnote w:id="41">
    <w:p w:rsidR="00BF6DFD" w:rsidRDefault="00BF6DFD" w:rsidP="00B708D2">
      <w:pPr>
        <w:pStyle w:val="Tekstprzypisudolnego"/>
        <w:ind w:firstLine="0"/>
      </w:pPr>
      <w:bookmarkStart w:id="21" w:name="_Hlk128531546"/>
    </w:p>
  </w:footnote>
  <w:footnote w:id="42">
    <w:p w:rsidR="00BF6DFD" w:rsidRPr="007D69DB" w:rsidRDefault="00BF6DFD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rPr>
          <w:i/>
        </w:rPr>
        <w:t>Ibidem.</w:t>
      </w:r>
    </w:p>
  </w:footnote>
  <w:footnote w:id="43">
    <w:p w:rsidR="00BF6DFD" w:rsidRDefault="00BF6DFD">
      <w:pPr>
        <w:pStyle w:val="Tekstprzypisudolnego"/>
      </w:pPr>
      <w:bookmarkStart w:id="22" w:name="_Hlk128517291"/>
      <w:r>
        <w:rPr>
          <w:rStyle w:val="Odwoanieprzypisudolnego"/>
        </w:rPr>
        <w:footnoteRef/>
      </w:r>
      <w:r>
        <w:t xml:space="preserve"> Akt końcowy Konferencji Bezpieczeństwa i Współpracy w Europie z 1 sierpnia 1975 r.,  </w:t>
      </w:r>
      <w:hyperlink r:id="rId33" w:history="1">
        <w:r w:rsidRPr="006A0081">
          <w:rPr>
            <w:rStyle w:val="Hipercze"/>
          </w:rPr>
          <w:t>https://docplayer.pl/176441-Akt-koncowy-konferencji-bezpieczenstwa-i-wspolpracy-w-europie-obwe.html</w:t>
        </w:r>
      </w:hyperlink>
      <w:r>
        <w:t xml:space="preserve">, [dostęp: 15.02.2023]. </w:t>
      </w:r>
      <w:bookmarkEnd w:id="22"/>
    </w:p>
  </w:footnote>
  <w:footnote w:id="44">
    <w:p w:rsidR="00BF6DFD" w:rsidRDefault="00BF6DFD">
      <w:pPr>
        <w:pStyle w:val="Tekstprzypisudolnego"/>
      </w:pPr>
      <w:bookmarkStart w:id="23" w:name="_Hlk128517320"/>
      <w:r>
        <w:rPr>
          <w:rStyle w:val="Odwoanieprzypisudolnego"/>
        </w:rPr>
        <w:footnoteRef/>
      </w:r>
      <w:r>
        <w:t xml:space="preserve"> Por.: A. Jach, Akt końcowy KBWE i jego wpływ na instytucjonalizację ruchu praw człowieka w krajach Europy Środkowo-Wschodniej w perspektywie porównawczej 1975- 1991, (wybrane aspekty), „Nowa </w:t>
      </w:r>
      <w:bookmarkStart w:id="24" w:name="_Hlk128531573"/>
      <w:r>
        <w:t xml:space="preserve">Polityka Wschodnia,  </w:t>
      </w:r>
      <w:hyperlink r:id="rId34" w:history="1">
        <w:r w:rsidRPr="00442E57">
          <w:rPr>
            <w:rStyle w:val="Hipercze"/>
          </w:rPr>
          <w:t>https://czasopisma.marszalek.com.pl/images/pliki/npw/13/npw2017210.pdf</w:t>
        </w:r>
      </w:hyperlink>
      <w:r>
        <w:t xml:space="preserve">, [dostęp: 15.02.2023]. </w:t>
      </w:r>
      <w:bookmarkEnd w:id="23"/>
      <w:bookmarkEnd w:id="24"/>
    </w:p>
  </w:footnote>
  <w:footnote w:id="45">
    <w:p w:rsidR="00BF6DFD" w:rsidRDefault="00BF6DFD" w:rsidP="00397A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Ibidem. </w:t>
      </w:r>
    </w:p>
  </w:footnote>
  <w:footnote w:id="46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bookmarkStart w:id="25" w:name="_Hlk128517355"/>
      <w:r>
        <w:t xml:space="preserve"> </w:t>
      </w:r>
      <w:r w:rsidRPr="00C23EFF">
        <w:t xml:space="preserve">Archiwum Akt Nowych, </w:t>
      </w:r>
      <w:r>
        <w:t xml:space="preserve">(dalej: AAN), </w:t>
      </w:r>
      <w:r w:rsidRPr="00C23EFF">
        <w:t>Urząd do Spraw Wyznań. Zespół Studiów i Dokumentacji, sygn.</w:t>
      </w:r>
      <w:r>
        <w:t xml:space="preserve"> 136/94</w:t>
      </w:r>
      <w:r w:rsidRPr="00C23EFF">
        <w:t xml:space="preserve">, </w:t>
      </w:r>
      <w:r>
        <w:t>Wolność sumienia i wyznania w Polsce, przygotowanie ustawy o realizacji wolności sumienia i wyznania, stosunek do religii a orientacje Polaków, kościoły i związki wyznaniowe, s</w:t>
      </w:r>
      <w:r w:rsidRPr="00C23EFF">
        <w:t>. 81- 83.</w:t>
      </w:r>
    </w:p>
  </w:footnote>
  <w:footnote w:id="47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A</w:t>
      </w:r>
      <w:r w:rsidR="0048194D">
        <w:t>AN</w:t>
      </w:r>
      <w:r>
        <w:t>, Urząd do Spraw Wyznań. Zespół Studiów i Dokumentacji, sygn.</w:t>
      </w:r>
      <w:r w:rsidR="0048194D">
        <w:t>136/136</w:t>
      </w:r>
      <w:r>
        <w:t xml:space="preserve">, </w:t>
      </w:r>
      <w:r w:rsidR="0048194D">
        <w:t xml:space="preserve">Wolność sumienia i wyznania w Polsce- opracowania, projekty aktów prawnych, </w:t>
      </w:r>
      <w:r>
        <w:t xml:space="preserve">s. 12. </w:t>
      </w:r>
    </w:p>
  </w:footnote>
  <w:footnote w:id="48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Por. : </w:t>
      </w:r>
      <w:r w:rsidRPr="001710D7">
        <w:rPr>
          <w:highlight w:val="green"/>
        </w:rPr>
        <w:t>tekst</w:t>
      </w:r>
      <w:r w:rsidRPr="001710D7">
        <w:rPr>
          <w:i/>
          <w:highlight w:val="green"/>
        </w:rPr>
        <w:t xml:space="preserve"> Deklaracji</w:t>
      </w:r>
      <w:r w:rsidRPr="001710D7">
        <w:rPr>
          <w:highlight w:val="green"/>
        </w:rPr>
        <w:t xml:space="preserve">…, </w:t>
      </w:r>
      <w:r w:rsidRPr="001710D7">
        <w:rPr>
          <w:i/>
          <w:highlight w:val="green"/>
        </w:rPr>
        <w:t>Ibidem</w:t>
      </w:r>
      <w:r w:rsidRPr="001710D7">
        <w:rPr>
          <w:highlight w:val="green"/>
        </w:rPr>
        <w:t>, s. 14- 18.</w:t>
      </w:r>
      <w:r>
        <w:t xml:space="preserve"> </w:t>
      </w:r>
    </w:p>
  </w:footnote>
  <w:footnote w:id="49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rPr>
          <w:i/>
        </w:rPr>
        <w:t>Ibidem</w:t>
      </w:r>
      <w:r>
        <w:t xml:space="preserve"> , s. 14. </w:t>
      </w:r>
    </w:p>
  </w:footnote>
  <w:footnote w:id="50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rPr>
          <w:i/>
        </w:rPr>
        <w:t>Ibidem</w:t>
      </w:r>
      <w:r>
        <w:t xml:space="preserve"> , s. 15. </w:t>
      </w:r>
    </w:p>
  </w:footnote>
  <w:footnote w:id="51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</w:t>
      </w:r>
      <w:r>
        <w:t xml:space="preserve">, s. 17- 18. </w:t>
      </w:r>
    </w:p>
  </w:footnote>
  <w:footnote w:id="52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6" w:name="_Hlk128517390"/>
      <w:bookmarkStart w:id="27" w:name="_Hlk128531621"/>
      <w:r>
        <w:t xml:space="preserve">Konwencja w sprawie zwalczania dyskryminacji w dziedzinie oświaty, </w:t>
      </w:r>
      <w:hyperlink r:id="rId35" w:history="1">
        <w:r w:rsidRPr="006A0081">
          <w:rPr>
            <w:rStyle w:val="Hipercze"/>
          </w:rPr>
          <w:t>https://www.unesco.pl/fileadmin/user_upload/pdf/Konwencja_o_zwalczaniu_dyskryminacji_w__oswiacie.pdf</w:t>
        </w:r>
      </w:hyperlink>
      <w:r>
        <w:t>, [dostęp: 09.02.2023].</w:t>
      </w:r>
    </w:p>
    <w:bookmarkEnd w:id="27"/>
  </w:footnote>
  <w:footnote w:id="53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608F">
        <w:t>A</w:t>
      </w:r>
      <w:r w:rsidR="0048194D">
        <w:t>AN</w:t>
      </w:r>
      <w:r w:rsidRPr="00BC608F">
        <w:t>, Urząd do Spraw Wyznań. Zespół Studiów i Dokumentacji, syg</w:t>
      </w:r>
      <w:r w:rsidR="0048194D">
        <w:t>n</w:t>
      </w:r>
      <w:r>
        <w:t>.</w:t>
      </w:r>
      <w:r w:rsidR="0048194D">
        <w:t xml:space="preserve"> 136/136</w:t>
      </w:r>
      <w:r>
        <w:t xml:space="preserve">, </w:t>
      </w:r>
      <w:r w:rsidR="0048194D">
        <w:t>s</w:t>
      </w:r>
      <w:r>
        <w:t xml:space="preserve">. 16 i następne. </w:t>
      </w:r>
    </w:p>
  </w:footnote>
  <w:footnote w:id="54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8194D" w:rsidRPr="0048194D">
        <w:rPr>
          <w:i/>
        </w:rPr>
        <w:t>Ibidem</w:t>
      </w:r>
      <w:r w:rsidR="0048194D">
        <w:t xml:space="preserve">, </w:t>
      </w:r>
      <w:r>
        <w:t>Odpowiedź na ankietę przesłaną przy nocie Sekretarza Generalnego ONZ z dnia 28 września 1984 na temat stosowana Deklaracji w sprawie eliminacji wszelkich form nietolerancji i dyskryminacji religii lub przekonań, s. 19 i następne</w:t>
      </w:r>
      <w:r w:rsidR="0048194D">
        <w:t>.</w:t>
      </w:r>
    </w:p>
  </w:footnote>
  <w:footnote w:id="55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</w:t>
      </w:r>
      <w:r>
        <w:t xml:space="preserve">, s. 20. </w:t>
      </w:r>
    </w:p>
  </w:footnote>
  <w:footnote w:id="56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</w:t>
      </w:r>
      <w:r>
        <w:t xml:space="preserve">, s. 21, a także Ustawa z 29 marca 1962 r o zgromadzeniach, Dz.U. nr 20, poz. 89. </w:t>
      </w:r>
    </w:p>
  </w:footnote>
  <w:footnote w:id="57">
    <w:p w:rsidR="00BF6DFD" w:rsidRPr="0055698C" w:rsidRDefault="00BF6DFD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Ibidem.</w:t>
      </w:r>
    </w:p>
  </w:footnote>
  <w:footnote w:id="58">
    <w:p w:rsidR="00BF6DFD" w:rsidRPr="0055698C" w:rsidRDefault="00BF6DFD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 </w:t>
      </w:r>
      <w:r>
        <w:rPr>
          <w:i/>
        </w:rPr>
        <w:t>Ibidem.</w:t>
      </w:r>
    </w:p>
  </w:footnote>
  <w:footnote w:id="59">
    <w:p w:rsidR="00BF6DFD" w:rsidRDefault="00BF6DFD">
      <w:pPr>
        <w:pStyle w:val="Tekstprzypisudolnego"/>
      </w:pPr>
      <w:bookmarkStart w:id="28" w:name="_Hlk128517419"/>
      <w:r>
        <w:rPr>
          <w:rStyle w:val="Odwoanieprzypisudolnego"/>
        </w:rPr>
        <w:footnoteRef/>
      </w:r>
      <w:r>
        <w:t xml:space="preserve"> </w:t>
      </w:r>
      <w:r w:rsidR="0048194D">
        <w:rPr>
          <w:i/>
        </w:rPr>
        <w:t>Ibidem</w:t>
      </w:r>
      <w:r>
        <w:t xml:space="preserve">, Wytyczne polityki wyznaniowej sformułowane na X Zjeździe PZPR- 29 czerwca- 4 lipca 1986 r., s. 74. </w:t>
      </w:r>
      <w:bookmarkEnd w:id="28"/>
    </w:p>
  </w:footnote>
  <w:footnote w:id="60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</w:t>
      </w:r>
      <w:r>
        <w:t xml:space="preserve">, s. 75. </w:t>
      </w:r>
    </w:p>
  </w:footnote>
  <w:footnote w:id="61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5698C">
        <w:rPr>
          <w:i/>
        </w:rPr>
        <w:t>Ibidem</w:t>
      </w:r>
      <w:r>
        <w:t xml:space="preserve">, s. 77. </w:t>
      </w:r>
    </w:p>
  </w:footnote>
  <w:footnote w:id="62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rPr>
          <w:i/>
        </w:rPr>
        <w:t xml:space="preserve"> Ibidem</w:t>
      </w:r>
      <w:r>
        <w:t xml:space="preserve">, Program PZPR uchwalony przez X Zjazd PZPR w lipcu 1986 r., s. 77. </w:t>
      </w:r>
    </w:p>
  </w:footnote>
  <w:footnote w:id="63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rPr>
          <w:i/>
        </w:rPr>
        <w:t xml:space="preserve"> Ibidem</w:t>
      </w:r>
      <w:r>
        <w:t xml:space="preserve">, s. 80. </w:t>
      </w:r>
    </w:p>
  </w:footnote>
  <w:footnote w:id="64">
    <w:p w:rsidR="00BF6DFD" w:rsidRDefault="00BF6DFD" w:rsidP="00A145E4">
      <w:pPr>
        <w:pStyle w:val="Tekstprzypisudolnego"/>
      </w:pPr>
      <w:bookmarkStart w:id="29" w:name="_Hlk128517455"/>
      <w:r>
        <w:rPr>
          <w:rStyle w:val="Odwoanieprzypisudolnego"/>
        </w:rPr>
        <w:footnoteRef/>
      </w:r>
      <w:r>
        <w:t xml:space="preserve"> </w:t>
      </w:r>
      <w:bookmarkStart w:id="30" w:name="_Hlk128499446"/>
      <w:r>
        <w:t xml:space="preserve">Por. : </w:t>
      </w:r>
      <w:bookmarkStart w:id="31" w:name="_Hlk128531671"/>
      <w:r>
        <w:t xml:space="preserve">Ratzinger i „hańba epoki”, </w:t>
      </w:r>
      <w:hyperlink r:id="rId36" w:history="1">
        <w:r w:rsidRPr="00ED0822">
          <w:rPr>
            <w:rStyle w:val="Hipercze"/>
          </w:rPr>
          <w:t>https://www.salon24.pl/u/koniecsystemu/374265,ratzinger-i-hanba-epoki</w:t>
        </w:r>
      </w:hyperlink>
      <w:r>
        <w:t>, także: Wyciąg z protokołu nr 451 posiedzenia Senatu Akademickiego KUL z dnia 29 lutego 1988 r. w sprawie nadania tytułu doktora honoris causa KUL Josephowi Kardynałowi Ratzingerowi,</w:t>
      </w:r>
    </w:p>
    <w:p w:rsidR="00BF6DFD" w:rsidRDefault="00BF6DFD" w:rsidP="00A145E4">
      <w:pPr>
        <w:pStyle w:val="Tekstprzypisudolnego"/>
      </w:pPr>
      <w:r>
        <w:t xml:space="preserve"> </w:t>
      </w:r>
      <w:hyperlink r:id="rId37" w:history="1">
        <w:r w:rsidRPr="00ED0822">
          <w:rPr>
            <w:rStyle w:val="Hipercze"/>
          </w:rPr>
          <w:t>https://www.kul.pl/doktor-honoris-causa-kul-joseph-ratzinger,art_11699.html</w:t>
        </w:r>
      </w:hyperlink>
      <w:bookmarkEnd w:id="29"/>
      <w:r>
        <w:t xml:space="preserve">, </w:t>
      </w:r>
      <w:bookmarkEnd w:id="30"/>
      <w:r>
        <w:t>[dostęp: 13.02.2023].</w:t>
      </w:r>
    </w:p>
  </w:footnote>
  <w:footnote w:id="65">
    <w:p w:rsidR="00BF6DFD" w:rsidRPr="00AE68A9" w:rsidRDefault="00BF6DFD" w:rsidP="00AE68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2" w:name="_Hlk128517491"/>
      <w:proofErr w:type="spellStart"/>
      <w:r w:rsidRPr="00E8408B">
        <w:t>Octogesima</w:t>
      </w:r>
      <w:proofErr w:type="spellEnd"/>
      <w:r w:rsidRPr="00E8408B">
        <w:t xml:space="preserve"> </w:t>
      </w:r>
      <w:proofErr w:type="spellStart"/>
      <w:r w:rsidRPr="00E8408B">
        <w:t>Adveniens</w:t>
      </w:r>
      <w:proofErr w:type="spellEnd"/>
      <w:r w:rsidRPr="00E8408B">
        <w:t xml:space="preserve">, List apostolski papieża Pawła VI </w:t>
      </w:r>
      <w:hyperlink r:id="rId38" w:history="1">
        <w:r w:rsidRPr="00ED0822">
          <w:rPr>
            <w:rStyle w:val="Hipercze"/>
          </w:rPr>
          <w:t>https://www.vatican.va/content/paul-vi/en/apost_letters/documents/hf_p-vi_apl_19710514_octogesima-adveniens.html</w:t>
        </w:r>
      </w:hyperlink>
      <w:r w:rsidRPr="00E8408B">
        <w:t>,</w:t>
      </w:r>
      <w:r>
        <w:t xml:space="preserve"> </w:t>
      </w:r>
      <w:r w:rsidRPr="00E8408B">
        <w:t xml:space="preserve"> [dostęp: 12.02.2023].  </w:t>
      </w:r>
    </w:p>
  </w:footnote>
  <w:footnote w:id="66">
    <w:p w:rsidR="00BF6DFD" w:rsidRPr="00E8408B" w:rsidRDefault="00BF6DFD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Ibidem. </w:t>
      </w:r>
    </w:p>
  </w:footnote>
  <w:footnote w:id="67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3" w:name="_Hlk128531703"/>
      <w:r w:rsidRPr="00E8408B">
        <w:t xml:space="preserve">Kongregacja Nauki Wiary, Instrukcja o niektórych aspektach „teologii wyzwolenia”, </w:t>
      </w:r>
      <w:hyperlink r:id="rId39" w:history="1">
        <w:r w:rsidRPr="00ED0822">
          <w:rPr>
            <w:rStyle w:val="Hipercze"/>
          </w:rPr>
          <w:t>https://www.vatican.va/roman_curia/congregations/cfaith/documents/rc_con_cfaith_doc_19840806_theology-liberation_pl.html</w:t>
        </w:r>
      </w:hyperlink>
      <w:r w:rsidRPr="00E8408B">
        <w:t>,</w:t>
      </w:r>
      <w:r>
        <w:t xml:space="preserve"> </w:t>
      </w:r>
      <w:r w:rsidRPr="00E8408B">
        <w:t xml:space="preserve"> [dostęp: 12.02.2023].</w:t>
      </w:r>
      <w:r>
        <w:t xml:space="preserve"> </w:t>
      </w:r>
    </w:p>
  </w:footnote>
  <w:footnote w:id="68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2284">
        <w:t xml:space="preserve">Por.: F. Musiał, </w:t>
      </w:r>
      <w:r w:rsidRPr="00B708D2">
        <w:rPr>
          <w:i/>
        </w:rPr>
        <w:t>Pieriestrojka- droga do demokracji czy plan „odwilży” bis</w:t>
      </w:r>
      <w:r w:rsidRPr="00482284">
        <w:t xml:space="preserve">”,  </w:t>
      </w:r>
      <w:hyperlink r:id="rId40" w:history="1">
        <w:r w:rsidRPr="006A0081">
          <w:rPr>
            <w:rStyle w:val="Hipercze"/>
          </w:rPr>
          <w:t>http://www.polska1918-89.pl/pdf/pierestrojka---droga-do-demokracji-czy-plan-%C2%BBodwilzy%C2%AB-bis,5460.pdf</w:t>
        </w:r>
      </w:hyperlink>
      <w:r w:rsidRPr="00482284">
        <w:t>,</w:t>
      </w:r>
      <w:r>
        <w:t xml:space="preserve"> </w:t>
      </w:r>
      <w:r w:rsidRPr="00482284">
        <w:t>[dostęp: 25.02.2023].</w:t>
      </w:r>
      <w:r>
        <w:t xml:space="preserve"> </w:t>
      </w:r>
    </w:p>
  </w:footnote>
  <w:footnote w:id="69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2284">
        <w:t xml:space="preserve">A. Grajewski, </w:t>
      </w:r>
      <w:r w:rsidRPr="00B708D2">
        <w:rPr>
          <w:i/>
        </w:rPr>
        <w:t>Wolność jest na wyciągnięcie ręki. Trzecia pielgrzymka Jana Pawła II do Polski w ocenie KGB</w:t>
      </w:r>
      <w:r w:rsidRPr="00482284">
        <w:t xml:space="preserve">,  </w:t>
      </w:r>
      <w:hyperlink r:id="rId41" w:history="1">
        <w:r w:rsidRPr="006A0081">
          <w:rPr>
            <w:rStyle w:val="Hipercze"/>
          </w:rPr>
          <w:t>file:///C:/Users/Edukacja/Downloads/Strony_od_BIULETYN_7-8_2018.pdf</w:t>
        </w:r>
      </w:hyperlink>
      <w:r w:rsidRPr="00482284">
        <w:t>,</w:t>
      </w:r>
      <w:r>
        <w:t xml:space="preserve"> </w:t>
      </w:r>
      <w:r w:rsidRPr="00482284">
        <w:t>[dostęp: 25.02.2023].</w:t>
      </w:r>
    </w:p>
  </w:footnote>
  <w:footnote w:id="70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AAN, </w:t>
      </w:r>
      <w:r w:rsidR="0048194D">
        <w:t>Urząd do Spraw Wyznań, sygn.136/</w:t>
      </w:r>
      <w:r w:rsidR="005051F8">
        <w:t>94, s.25 i następne.</w:t>
      </w:r>
    </w:p>
  </w:footnote>
  <w:footnote w:id="71">
    <w:p w:rsidR="00BF6DFD" w:rsidRPr="005C1795" w:rsidRDefault="00BF6DFD" w:rsidP="005C1795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 xml:space="preserve">Ibidem. </w:t>
      </w:r>
    </w:p>
  </w:footnote>
  <w:footnote w:id="72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Por.: </w:t>
      </w:r>
      <w:bookmarkStart w:id="34" w:name="_Hlk128517529"/>
      <w:proofErr w:type="spellStart"/>
      <w:r>
        <w:t>ks.W</w:t>
      </w:r>
      <w:proofErr w:type="spellEnd"/>
      <w:r>
        <w:t xml:space="preserve">. Hanc, </w:t>
      </w:r>
      <w:r w:rsidRPr="00B708D2">
        <w:rPr>
          <w:i/>
        </w:rPr>
        <w:t>Polska Rada Ekumeniczna</w:t>
      </w:r>
      <w:r>
        <w:t>,” Łódzkie Studia Teologiczne”, 25, (2016), 4.</w:t>
      </w:r>
      <w:bookmarkEnd w:id="34"/>
    </w:p>
  </w:footnote>
  <w:footnote w:id="73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 w:rsidR="005051F8">
        <w:t xml:space="preserve">AAN, Urząd do Spraw Wyznań, sygn.. 136/94, </w:t>
      </w:r>
      <w:r>
        <w:rPr>
          <w:i/>
        </w:rPr>
        <w:t>Ibidem</w:t>
      </w:r>
      <w:r>
        <w:t xml:space="preserve">, </w:t>
      </w:r>
      <w:r w:rsidRPr="0055698C">
        <w:rPr>
          <w:i/>
        </w:rPr>
        <w:t>passim</w:t>
      </w:r>
      <w:r>
        <w:t xml:space="preserve">. </w:t>
      </w:r>
    </w:p>
  </w:footnote>
  <w:footnote w:id="74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051F8" w:rsidRPr="005051F8">
        <w:rPr>
          <w:i/>
        </w:rPr>
        <w:t>Ibidem.</w:t>
      </w:r>
      <w:r w:rsidR="005051F8">
        <w:t xml:space="preserve"> </w:t>
      </w:r>
    </w:p>
  </w:footnote>
  <w:footnote w:id="75">
    <w:p w:rsidR="00BF6DFD" w:rsidRPr="0055698C" w:rsidRDefault="00BF6DFD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Ibidem.</w:t>
      </w:r>
    </w:p>
  </w:footnote>
  <w:footnote w:id="76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53D">
        <w:t xml:space="preserve">AAN, </w:t>
      </w:r>
      <w:r w:rsidR="005051F8">
        <w:t xml:space="preserve">Urząd do Spraw Wyznań, </w:t>
      </w:r>
      <w:r w:rsidRPr="00FB753D">
        <w:t>sygn.</w:t>
      </w:r>
      <w:r w:rsidR="005051F8">
        <w:t xml:space="preserve"> 136/94</w:t>
      </w:r>
      <w:r w:rsidRPr="00FB753D">
        <w:t>, s. 89 i następne.</w:t>
      </w:r>
    </w:p>
  </w:footnote>
  <w:footnote w:id="77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</w:t>
      </w:r>
      <w:r>
        <w:t xml:space="preserve">, s. 136. </w:t>
      </w:r>
    </w:p>
  </w:footnote>
  <w:footnote w:id="78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rPr>
          <w:i/>
        </w:rPr>
        <w:t xml:space="preserve"> Ibidem</w:t>
      </w:r>
      <w:r>
        <w:t xml:space="preserve"> , s. 139. </w:t>
      </w:r>
    </w:p>
  </w:footnote>
  <w:footnote w:id="79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</w:t>
      </w:r>
      <w:r>
        <w:t xml:space="preserve">, s. 140. </w:t>
      </w:r>
    </w:p>
  </w:footnote>
  <w:footnote w:id="80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5" w:name="_Hlk128531781"/>
      <w:r w:rsidRPr="00C41D87">
        <w:t>Ustawa z dnia 17 maja 1989 r. o stosunku państwa do Kościoła katolickiego w Rzeczypospolitej Polskiej</w:t>
      </w:r>
      <w:r w:rsidR="005051F8">
        <w:t>, „</w:t>
      </w:r>
      <w:r w:rsidRPr="00C41D87">
        <w:t>Dz. U.</w:t>
      </w:r>
      <w:r w:rsidR="005051F8">
        <w:t xml:space="preserve">”, </w:t>
      </w:r>
      <w:r w:rsidRPr="00C41D87">
        <w:t xml:space="preserve"> nr 29, poz. </w:t>
      </w:r>
      <w:r w:rsidRPr="00C41D87">
        <w:t>154</w:t>
      </w:r>
      <w:bookmarkStart w:id="36" w:name="_GoBack"/>
      <w:bookmarkEnd w:id="36"/>
      <w:r>
        <w:t xml:space="preserve">. </w:t>
      </w:r>
    </w:p>
  </w:footnote>
  <w:footnote w:id="81">
    <w:p w:rsidR="00BF6DFD" w:rsidRDefault="00BF6DFD" w:rsidP="00880B6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7" w:name="_Hlk128517594"/>
      <w:bookmarkStart w:id="38" w:name="_Hlk128517595"/>
      <w:bookmarkStart w:id="39" w:name="_Hlk128517596"/>
      <w:bookmarkStart w:id="40" w:name="_Hlk128517597"/>
      <w:r>
        <w:t xml:space="preserve">Z. Chlewiński, </w:t>
      </w:r>
      <w:r w:rsidRPr="00B708D2">
        <w:rPr>
          <w:i/>
        </w:rPr>
        <w:t>Tożsamość a tolerancja</w:t>
      </w:r>
      <w:r>
        <w:t xml:space="preserve">, [w:] </w:t>
      </w:r>
      <w:r w:rsidRPr="00B708D2">
        <w:rPr>
          <w:i/>
        </w:rPr>
        <w:t>Tożsamość, odmienność, tolerancja a kultura pokoju</w:t>
      </w:r>
      <w:r>
        <w:t xml:space="preserve">, pod. Red. J. Kłoczowski, S. Łukasiewicz, Lublin, 1998, s. 69. </w:t>
      </w:r>
    </w:p>
  </w:footnote>
  <w:footnote w:id="82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</w:rPr>
        <w:t>Ibidem</w:t>
      </w:r>
      <w:r>
        <w:t xml:space="preserve">, s. 71.  </w:t>
      </w:r>
    </w:p>
  </w:footnote>
  <w:footnote w:id="83">
    <w:p w:rsidR="00BF6DFD" w:rsidRDefault="00BF6DFD">
      <w:pPr>
        <w:pStyle w:val="Tekstprzypisudolnego"/>
      </w:pPr>
      <w:r>
        <w:rPr>
          <w:rStyle w:val="Odwoanieprzypisudolnego"/>
        </w:rPr>
        <w:footnoteRef/>
      </w:r>
      <w:bookmarkStart w:id="41" w:name="_Hlk128531810"/>
      <w:r>
        <w:t xml:space="preserve">Wojciech Jaruzelski o rozmowach z Janem Pawłem II, </w:t>
      </w:r>
      <w:hyperlink r:id="rId42" w:history="1">
        <w:r w:rsidRPr="00442E57">
          <w:rPr>
            <w:rStyle w:val="Hipercze"/>
          </w:rPr>
          <w:t>https://www.bing.com/videos/search?go=Wyszukaj&amp;q=jan+pawe%c5%82+ii+jaruzelski+pdf&amp;qs=ds&amp;ru=%2fsearch%3fgo%3dWyszukaj%26q%3djan%2bpawe%25C5%2582%2bii%2bjaruzelski%2bpdf%26qs%3dds%26form%3dQBRE&amp;view=detail&amp;mmscn=vwrc&amp;mid=F87F0C98767F0BC959D4F87F0C98767F0BC959D4&amp;FORM=WRVORC</w:t>
        </w:r>
      </w:hyperlink>
      <w:bookmarkEnd w:id="41"/>
      <w:r w:rsidRPr="00880B62">
        <w:t>,</w:t>
      </w:r>
      <w:r>
        <w:t xml:space="preserve"> </w:t>
      </w:r>
      <w:bookmarkStart w:id="42" w:name="_Hlk128531865"/>
      <w:r>
        <w:t>[dostęp: 19.02.2023].</w:t>
      </w:r>
      <w:bookmarkEnd w:id="4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C5C83"/>
    <w:multiLevelType w:val="hybridMultilevel"/>
    <w:tmpl w:val="51940E50"/>
    <w:lvl w:ilvl="0" w:tplc="14125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527"/>
    <w:rsid w:val="000036B7"/>
    <w:rsid w:val="000149FD"/>
    <w:rsid w:val="00022C6F"/>
    <w:rsid w:val="00032B59"/>
    <w:rsid w:val="00036660"/>
    <w:rsid w:val="0005207F"/>
    <w:rsid w:val="00057608"/>
    <w:rsid w:val="00057A9A"/>
    <w:rsid w:val="00070D4A"/>
    <w:rsid w:val="00070E2C"/>
    <w:rsid w:val="00071EDC"/>
    <w:rsid w:val="00075799"/>
    <w:rsid w:val="000771C9"/>
    <w:rsid w:val="000818AA"/>
    <w:rsid w:val="000A208C"/>
    <w:rsid w:val="000B051F"/>
    <w:rsid w:val="000B2F2B"/>
    <w:rsid w:val="000B3F62"/>
    <w:rsid w:val="000D0A99"/>
    <w:rsid w:val="000D0FDC"/>
    <w:rsid w:val="000E646D"/>
    <w:rsid w:val="000E7E2F"/>
    <w:rsid w:val="0011505C"/>
    <w:rsid w:val="00126CCC"/>
    <w:rsid w:val="0013097D"/>
    <w:rsid w:val="0013550E"/>
    <w:rsid w:val="00135A58"/>
    <w:rsid w:val="001454E9"/>
    <w:rsid w:val="00153EFB"/>
    <w:rsid w:val="00155461"/>
    <w:rsid w:val="00170512"/>
    <w:rsid w:val="001710D7"/>
    <w:rsid w:val="00172184"/>
    <w:rsid w:val="00190A70"/>
    <w:rsid w:val="00192C3C"/>
    <w:rsid w:val="00194E45"/>
    <w:rsid w:val="0019795A"/>
    <w:rsid w:val="001A7E53"/>
    <w:rsid w:val="001B13FE"/>
    <w:rsid w:val="001B5C42"/>
    <w:rsid w:val="001B5F6D"/>
    <w:rsid w:val="001C0975"/>
    <w:rsid w:val="001C5648"/>
    <w:rsid w:val="001D3C1B"/>
    <w:rsid w:val="001D5B5E"/>
    <w:rsid w:val="001D6F3E"/>
    <w:rsid w:val="001F5072"/>
    <w:rsid w:val="0020038F"/>
    <w:rsid w:val="00200E8A"/>
    <w:rsid w:val="002147F0"/>
    <w:rsid w:val="002169C8"/>
    <w:rsid w:val="00226C92"/>
    <w:rsid w:val="00242D36"/>
    <w:rsid w:val="00257741"/>
    <w:rsid w:val="00257D9F"/>
    <w:rsid w:val="00262EF4"/>
    <w:rsid w:val="00264724"/>
    <w:rsid w:val="00265BB2"/>
    <w:rsid w:val="00272F0E"/>
    <w:rsid w:val="00286381"/>
    <w:rsid w:val="00295DF1"/>
    <w:rsid w:val="002A7904"/>
    <w:rsid w:val="002B5B3C"/>
    <w:rsid w:val="002B62D0"/>
    <w:rsid w:val="002B7B3E"/>
    <w:rsid w:val="002C31ED"/>
    <w:rsid w:val="002D3ED5"/>
    <w:rsid w:val="002F0286"/>
    <w:rsid w:val="002F0D1C"/>
    <w:rsid w:val="002F21C8"/>
    <w:rsid w:val="002F720B"/>
    <w:rsid w:val="00307001"/>
    <w:rsid w:val="00325F88"/>
    <w:rsid w:val="00331A6D"/>
    <w:rsid w:val="00342E1E"/>
    <w:rsid w:val="00355214"/>
    <w:rsid w:val="00373DE3"/>
    <w:rsid w:val="003804BA"/>
    <w:rsid w:val="00382ECD"/>
    <w:rsid w:val="0038523A"/>
    <w:rsid w:val="00392335"/>
    <w:rsid w:val="00393964"/>
    <w:rsid w:val="00397A17"/>
    <w:rsid w:val="003B12A4"/>
    <w:rsid w:val="003B27F5"/>
    <w:rsid w:val="003B321A"/>
    <w:rsid w:val="003B6223"/>
    <w:rsid w:val="003C3A99"/>
    <w:rsid w:val="003E5212"/>
    <w:rsid w:val="003F1228"/>
    <w:rsid w:val="003F6699"/>
    <w:rsid w:val="003F66EC"/>
    <w:rsid w:val="0040071E"/>
    <w:rsid w:val="004029B7"/>
    <w:rsid w:val="004044F8"/>
    <w:rsid w:val="00416523"/>
    <w:rsid w:val="00452E6F"/>
    <w:rsid w:val="004618B5"/>
    <w:rsid w:val="0048194D"/>
    <w:rsid w:val="00482284"/>
    <w:rsid w:val="0049473E"/>
    <w:rsid w:val="00496F33"/>
    <w:rsid w:val="004A12B8"/>
    <w:rsid w:val="004A5190"/>
    <w:rsid w:val="004A5696"/>
    <w:rsid w:val="004B0D2F"/>
    <w:rsid w:val="004B2F85"/>
    <w:rsid w:val="004B3218"/>
    <w:rsid w:val="004B6FE8"/>
    <w:rsid w:val="004C449B"/>
    <w:rsid w:val="004C4808"/>
    <w:rsid w:val="004C7F18"/>
    <w:rsid w:val="004E4C1F"/>
    <w:rsid w:val="004E6953"/>
    <w:rsid w:val="004E7066"/>
    <w:rsid w:val="004F5A70"/>
    <w:rsid w:val="004F6B50"/>
    <w:rsid w:val="00501827"/>
    <w:rsid w:val="005051F8"/>
    <w:rsid w:val="00506045"/>
    <w:rsid w:val="00506F28"/>
    <w:rsid w:val="00511FC4"/>
    <w:rsid w:val="005211D0"/>
    <w:rsid w:val="00525AF7"/>
    <w:rsid w:val="00526F87"/>
    <w:rsid w:val="00527CB6"/>
    <w:rsid w:val="00532615"/>
    <w:rsid w:val="005339CC"/>
    <w:rsid w:val="00537DD9"/>
    <w:rsid w:val="00540D83"/>
    <w:rsid w:val="00542437"/>
    <w:rsid w:val="00544675"/>
    <w:rsid w:val="005447E8"/>
    <w:rsid w:val="0055698C"/>
    <w:rsid w:val="005646DD"/>
    <w:rsid w:val="00567527"/>
    <w:rsid w:val="00571FBD"/>
    <w:rsid w:val="00575B9A"/>
    <w:rsid w:val="005850B7"/>
    <w:rsid w:val="005875F2"/>
    <w:rsid w:val="005903A9"/>
    <w:rsid w:val="00597683"/>
    <w:rsid w:val="005A2E70"/>
    <w:rsid w:val="005A6E22"/>
    <w:rsid w:val="005C1365"/>
    <w:rsid w:val="005C1795"/>
    <w:rsid w:val="005F3C07"/>
    <w:rsid w:val="0060085D"/>
    <w:rsid w:val="00601C52"/>
    <w:rsid w:val="00602478"/>
    <w:rsid w:val="00604C2B"/>
    <w:rsid w:val="00605B35"/>
    <w:rsid w:val="00611CFB"/>
    <w:rsid w:val="00627144"/>
    <w:rsid w:val="00654D44"/>
    <w:rsid w:val="00654D9B"/>
    <w:rsid w:val="006554E4"/>
    <w:rsid w:val="00660F27"/>
    <w:rsid w:val="00662D90"/>
    <w:rsid w:val="0066405B"/>
    <w:rsid w:val="00664137"/>
    <w:rsid w:val="00666833"/>
    <w:rsid w:val="00673B73"/>
    <w:rsid w:val="006A5322"/>
    <w:rsid w:val="006C1E8B"/>
    <w:rsid w:val="006C4354"/>
    <w:rsid w:val="006C6DCE"/>
    <w:rsid w:val="006D360A"/>
    <w:rsid w:val="006F6CBD"/>
    <w:rsid w:val="0070454E"/>
    <w:rsid w:val="00717FA8"/>
    <w:rsid w:val="0072153D"/>
    <w:rsid w:val="00734FF8"/>
    <w:rsid w:val="007369C3"/>
    <w:rsid w:val="0074476F"/>
    <w:rsid w:val="00761501"/>
    <w:rsid w:val="007631CB"/>
    <w:rsid w:val="00766F06"/>
    <w:rsid w:val="0077366B"/>
    <w:rsid w:val="00781819"/>
    <w:rsid w:val="0079651B"/>
    <w:rsid w:val="007A34C7"/>
    <w:rsid w:val="007B35C8"/>
    <w:rsid w:val="007B54AB"/>
    <w:rsid w:val="007B5ED4"/>
    <w:rsid w:val="007C744B"/>
    <w:rsid w:val="007C76A5"/>
    <w:rsid w:val="007D69DB"/>
    <w:rsid w:val="007E6467"/>
    <w:rsid w:val="007F23B6"/>
    <w:rsid w:val="00815CDC"/>
    <w:rsid w:val="00825A58"/>
    <w:rsid w:val="0083030C"/>
    <w:rsid w:val="00832181"/>
    <w:rsid w:val="00843908"/>
    <w:rsid w:val="00843FF1"/>
    <w:rsid w:val="00853573"/>
    <w:rsid w:val="00854006"/>
    <w:rsid w:val="00856A80"/>
    <w:rsid w:val="00864E42"/>
    <w:rsid w:val="00867A76"/>
    <w:rsid w:val="00871202"/>
    <w:rsid w:val="00871629"/>
    <w:rsid w:val="00880B62"/>
    <w:rsid w:val="0088424D"/>
    <w:rsid w:val="00891A21"/>
    <w:rsid w:val="00891A4D"/>
    <w:rsid w:val="008A1596"/>
    <w:rsid w:val="008A6280"/>
    <w:rsid w:val="008B5BA0"/>
    <w:rsid w:val="008C6633"/>
    <w:rsid w:val="008D2C87"/>
    <w:rsid w:val="008F03D4"/>
    <w:rsid w:val="008F5728"/>
    <w:rsid w:val="008F5885"/>
    <w:rsid w:val="008F70C8"/>
    <w:rsid w:val="00914912"/>
    <w:rsid w:val="00920657"/>
    <w:rsid w:val="00935A61"/>
    <w:rsid w:val="00936F20"/>
    <w:rsid w:val="00942264"/>
    <w:rsid w:val="009478B4"/>
    <w:rsid w:val="00947A4B"/>
    <w:rsid w:val="00957FEB"/>
    <w:rsid w:val="00960857"/>
    <w:rsid w:val="0096259B"/>
    <w:rsid w:val="00965240"/>
    <w:rsid w:val="009704A5"/>
    <w:rsid w:val="00975B4D"/>
    <w:rsid w:val="00984730"/>
    <w:rsid w:val="00985CDC"/>
    <w:rsid w:val="00987FED"/>
    <w:rsid w:val="00993C27"/>
    <w:rsid w:val="009A61C9"/>
    <w:rsid w:val="009B3E3C"/>
    <w:rsid w:val="009B7E17"/>
    <w:rsid w:val="009C492F"/>
    <w:rsid w:val="009C50F3"/>
    <w:rsid w:val="009C72B3"/>
    <w:rsid w:val="009D5E51"/>
    <w:rsid w:val="009E5987"/>
    <w:rsid w:val="00A1035F"/>
    <w:rsid w:val="00A1155C"/>
    <w:rsid w:val="00A145E4"/>
    <w:rsid w:val="00A152DD"/>
    <w:rsid w:val="00A23191"/>
    <w:rsid w:val="00A35853"/>
    <w:rsid w:val="00A45A19"/>
    <w:rsid w:val="00A51937"/>
    <w:rsid w:val="00A72DA2"/>
    <w:rsid w:val="00A932C7"/>
    <w:rsid w:val="00AA5AEC"/>
    <w:rsid w:val="00AA5B23"/>
    <w:rsid w:val="00AA76C5"/>
    <w:rsid w:val="00AB710E"/>
    <w:rsid w:val="00AD0A48"/>
    <w:rsid w:val="00AD0EAA"/>
    <w:rsid w:val="00AE06B4"/>
    <w:rsid w:val="00AE1991"/>
    <w:rsid w:val="00AE2164"/>
    <w:rsid w:val="00AE68A9"/>
    <w:rsid w:val="00AF621E"/>
    <w:rsid w:val="00AF7E23"/>
    <w:rsid w:val="00B01C82"/>
    <w:rsid w:val="00B05AF3"/>
    <w:rsid w:val="00B07797"/>
    <w:rsid w:val="00B3690D"/>
    <w:rsid w:val="00B442EE"/>
    <w:rsid w:val="00B55632"/>
    <w:rsid w:val="00B655F8"/>
    <w:rsid w:val="00B65616"/>
    <w:rsid w:val="00B7056D"/>
    <w:rsid w:val="00B708D2"/>
    <w:rsid w:val="00B82600"/>
    <w:rsid w:val="00B86847"/>
    <w:rsid w:val="00B86CF8"/>
    <w:rsid w:val="00BA67E3"/>
    <w:rsid w:val="00BB16AD"/>
    <w:rsid w:val="00BB3CB2"/>
    <w:rsid w:val="00BB4136"/>
    <w:rsid w:val="00BB5CEA"/>
    <w:rsid w:val="00BB5E06"/>
    <w:rsid w:val="00BC1FB5"/>
    <w:rsid w:val="00BC608F"/>
    <w:rsid w:val="00BD5446"/>
    <w:rsid w:val="00BF6DFD"/>
    <w:rsid w:val="00C00A57"/>
    <w:rsid w:val="00C1272B"/>
    <w:rsid w:val="00C16D57"/>
    <w:rsid w:val="00C20D54"/>
    <w:rsid w:val="00C23EFF"/>
    <w:rsid w:val="00C33DD4"/>
    <w:rsid w:val="00C40EEA"/>
    <w:rsid w:val="00C41D87"/>
    <w:rsid w:val="00C517D8"/>
    <w:rsid w:val="00C55204"/>
    <w:rsid w:val="00C60F2A"/>
    <w:rsid w:val="00C7546E"/>
    <w:rsid w:val="00C76081"/>
    <w:rsid w:val="00C775C1"/>
    <w:rsid w:val="00C81900"/>
    <w:rsid w:val="00C81DE9"/>
    <w:rsid w:val="00C86A69"/>
    <w:rsid w:val="00CB0149"/>
    <w:rsid w:val="00CB1D3A"/>
    <w:rsid w:val="00CB470C"/>
    <w:rsid w:val="00CC5988"/>
    <w:rsid w:val="00CC7560"/>
    <w:rsid w:val="00CE079D"/>
    <w:rsid w:val="00CE3605"/>
    <w:rsid w:val="00CE5895"/>
    <w:rsid w:val="00CF7804"/>
    <w:rsid w:val="00D0566C"/>
    <w:rsid w:val="00D06212"/>
    <w:rsid w:val="00D13F4D"/>
    <w:rsid w:val="00D143AE"/>
    <w:rsid w:val="00D1687A"/>
    <w:rsid w:val="00D17EC6"/>
    <w:rsid w:val="00D2304A"/>
    <w:rsid w:val="00D33151"/>
    <w:rsid w:val="00D377FC"/>
    <w:rsid w:val="00D40C77"/>
    <w:rsid w:val="00D47110"/>
    <w:rsid w:val="00D57A6E"/>
    <w:rsid w:val="00D8405B"/>
    <w:rsid w:val="00D860EB"/>
    <w:rsid w:val="00D973AA"/>
    <w:rsid w:val="00DD4448"/>
    <w:rsid w:val="00DE3359"/>
    <w:rsid w:val="00DF3ACC"/>
    <w:rsid w:val="00E0758E"/>
    <w:rsid w:val="00E12700"/>
    <w:rsid w:val="00E173F2"/>
    <w:rsid w:val="00E30AAF"/>
    <w:rsid w:val="00E34EE5"/>
    <w:rsid w:val="00E44DC0"/>
    <w:rsid w:val="00E455AB"/>
    <w:rsid w:val="00E5078E"/>
    <w:rsid w:val="00E579CB"/>
    <w:rsid w:val="00E62820"/>
    <w:rsid w:val="00E639E7"/>
    <w:rsid w:val="00E64B0B"/>
    <w:rsid w:val="00E720CF"/>
    <w:rsid w:val="00E8408B"/>
    <w:rsid w:val="00E8705B"/>
    <w:rsid w:val="00E9132A"/>
    <w:rsid w:val="00EA0CA0"/>
    <w:rsid w:val="00EA6ACE"/>
    <w:rsid w:val="00EA7F3E"/>
    <w:rsid w:val="00EB4B8B"/>
    <w:rsid w:val="00EC66A7"/>
    <w:rsid w:val="00ED1C63"/>
    <w:rsid w:val="00ED51EB"/>
    <w:rsid w:val="00EE2C3C"/>
    <w:rsid w:val="00EE6ED4"/>
    <w:rsid w:val="00F0612C"/>
    <w:rsid w:val="00F07FBA"/>
    <w:rsid w:val="00F117E2"/>
    <w:rsid w:val="00F124B4"/>
    <w:rsid w:val="00F261B6"/>
    <w:rsid w:val="00F34327"/>
    <w:rsid w:val="00F44DB6"/>
    <w:rsid w:val="00F53897"/>
    <w:rsid w:val="00F60C26"/>
    <w:rsid w:val="00F85FA7"/>
    <w:rsid w:val="00F90CC0"/>
    <w:rsid w:val="00F91F0C"/>
    <w:rsid w:val="00F95C33"/>
    <w:rsid w:val="00FA3F42"/>
    <w:rsid w:val="00FB662A"/>
    <w:rsid w:val="00FB753D"/>
    <w:rsid w:val="00FD3905"/>
    <w:rsid w:val="00FD72F8"/>
    <w:rsid w:val="00FE2EEE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DBFD"/>
  <w15:chartTrackingRefBased/>
  <w15:docId w15:val="{A4ED732B-AF63-4EAC-AF31-9EA724C5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11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1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71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92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08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85D"/>
  </w:style>
  <w:style w:type="paragraph" w:styleId="Stopka">
    <w:name w:val="footer"/>
    <w:basedOn w:val="Normalny"/>
    <w:link w:val="StopkaZnak"/>
    <w:uiPriority w:val="99"/>
    <w:unhideWhenUsed/>
    <w:rsid w:val="006008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85D"/>
  </w:style>
  <w:style w:type="paragraph" w:styleId="Akapitzlist">
    <w:name w:val="List Paragraph"/>
    <w:basedOn w:val="Normalny"/>
    <w:uiPriority w:val="34"/>
    <w:qFormat/>
    <w:rsid w:val="006C1E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5B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B2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6F2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amnesty.org.pl/wpcontent/uploads/2016/04/Miedzynarodowy_Pakt_Praw_Obywatelskich_i_Politycznych.pdf" TargetMode="External"/><Relationship Id="rId18" Type="http://schemas.openxmlformats.org/officeDocument/2006/relationships/hyperlink" Target="https://onebid.pl/pl/ksiazki-i-starodruki-wolnosc-r-1-nr-1-24-08-1944-manifest-pkwn/1322751" TargetMode="External"/><Relationship Id="rId26" Type="http://schemas.openxmlformats.org/officeDocument/2006/relationships/hyperlink" Target="https://www.bibula.com/?p=58804" TargetMode="External"/><Relationship Id="rId39" Type="http://schemas.openxmlformats.org/officeDocument/2006/relationships/hyperlink" Target="https://www.vatican.va/roman_curia/congregations/cfaith/documents/rc_con_cfaith_doc_19840806_theology-liberation_pl.html" TargetMode="External"/><Relationship Id="rId21" Type="http://schemas.openxmlformats.org/officeDocument/2006/relationships/hyperlink" Target="https://przystanekhistoria.pl/pa2/biblioteka-cyfrowa/publikacje/23842,Polityka-panstwa-wobec-Kosciola-rzymskokatolickiego-w-Polsce-w-okresie-internowa.html" TargetMode="External"/><Relationship Id="rId34" Type="http://schemas.openxmlformats.org/officeDocument/2006/relationships/hyperlink" Target="https://czasopisma.marszalek.com.pl/images/pliki/npw/13/npw2017210.pdf" TargetMode="External"/><Relationship Id="rId42" Type="http://schemas.openxmlformats.org/officeDocument/2006/relationships/hyperlink" Target="https://www.bing.com/videos/search?go=Wyszukaj&amp;q=jan+pawe%c5%82+ii+jaruzelski+pdf&amp;qs=ds&amp;ru=%2fsearch%3fgo%3dWyszukaj%26q%3djan%2bpawe%25C5%2582%2bii%2bjaruzelski%2bpdf%26qs%3dds%26form%3dQBRE&amp;view=detail&amp;mmscn=vwrc&amp;mid=F87F0C98767F0BC959D4F87F0C98767F0BC959D4&amp;FORM=WRVORC" TargetMode="External"/><Relationship Id="rId7" Type="http://schemas.openxmlformats.org/officeDocument/2006/relationships/hyperlink" Target="https://www.archives.gov/founding-docs/bill-of-rights-transcript" TargetMode="External"/><Relationship Id="rId2" Type="http://schemas.openxmlformats.org/officeDocument/2006/relationships/hyperlink" Target="http://kulturaiwartosci.journals.umcs.pl" TargetMode="External"/><Relationship Id="rId16" Type="http://schemas.openxmlformats.org/officeDocument/2006/relationships/hyperlink" Target="https://isap.sejm.gov.pl/isap.nsf/DocDetails.xsp?id=WDU19210440267" TargetMode="External"/><Relationship Id="rId20" Type="http://schemas.openxmlformats.org/officeDocument/2006/relationships/hyperlink" Target="http://www.racjonalista.pl/kk.php/s,6628" TargetMode="External"/><Relationship Id="rId29" Type="http://schemas.openxmlformats.org/officeDocument/2006/relationships/hyperlink" Target="http://www.stowarzyszeniekanonistow.pl/wp-content/uploads/2020/08/Krukowski_2020.pdf" TargetMode="External"/><Relationship Id="rId41" Type="http://schemas.openxmlformats.org/officeDocument/2006/relationships/hyperlink" Target="file:///C:/Users/Edukacja/Downloads/Strony_od_BIULETYN_7-8_2018.pdf" TargetMode="External"/><Relationship Id="rId1" Type="http://schemas.openxmlformats.org/officeDocument/2006/relationships/hyperlink" Target="https://journals.umcs.pl/kw/article/viewFile/8264/6046" TargetMode="External"/><Relationship Id="rId6" Type="http://schemas.openxmlformats.org/officeDocument/2006/relationships/hyperlink" Target="https://biblia.deon.pl/rozdzial.php?id=1054" TargetMode="External"/><Relationship Id="rId11" Type="http://schemas.openxmlformats.org/officeDocument/2006/relationships/hyperlink" Target="https://amnesty.org.pl/wp-content/uploads/2016/04/Powszechna_Deklaracja_Praw_Czlowieka.pdf" TargetMode="External"/><Relationship Id="rId24" Type="http://schemas.openxmlformats.org/officeDocument/2006/relationships/hyperlink" Target="https://iura.uj.edu.pl/Content/538/PDF/mkk%20dekret%20z%2013%2006%201946%20o%20przestepstwach%20szczegolnie%20niebezpiecznych.pdf" TargetMode="External"/><Relationship Id="rId32" Type="http://schemas.openxmlformats.org/officeDocument/2006/relationships/hyperlink" Target="https://www.researchgate.net/publication/363899146_Non_possumus_Represje_wobec_Kosciola_katolickiego_i_Prymasa_Stefana_Wyszynskiego_w_1953_r_w_swietle_doniesien_prasowych_tego_okresu" TargetMode="External"/><Relationship Id="rId37" Type="http://schemas.openxmlformats.org/officeDocument/2006/relationships/hyperlink" Target="https://www.kul.pl/doktor-honoris-causa-kul-joseph-ratzinger,art_11699.html" TargetMode="External"/><Relationship Id="rId40" Type="http://schemas.openxmlformats.org/officeDocument/2006/relationships/hyperlink" Target="http://www.polska1918-89.pl/pdf/pierestrojka---droga-do-demokracji-czy-plan-%C2%BBodwilzy%C2%AB-bis,5460.pdf" TargetMode="External"/><Relationship Id="rId5" Type="http://schemas.openxmlformats.org/officeDocument/2006/relationships/hyperlink" Target="https://prawo.ug.edu.pl/sites/default/files/_nodes/strona-pia/33461/files/serzhanova.pdf" TargetMode="External"/><Relationship Id="rId15" Type="http://schemas.openxmlformats.org/officeDocument/2006/relationships/hyperlink" Target="http://libr.sejm.gov.pl/tek01/txt/onz/1981.html" TargetMode="External"/><Relationship Id="rId23" Type="http://schemas.openxmlformats.org/officeDocument/2006/relationships/hyperlink" Target="https://isap.sejm.gov.pl/isap.nsf/download.xsp/WDU19490450334/O/D19490334.pdf" TargetMode="External"/><Relationship Id="rId28" Type="http://schemas.openxmlformats.org/officeDocument/2006/relationships/hyperlink" Target="https://rcin.org.pl/Content/59558/WA303_79277_B155-Polska-T-2-1997_Zaryn.pdf" TargetMode="External"/><Relationship Id="rId36" Type="http://schemas.openxmlformats.org/officeDocument/2006/relationships/hyperlink" Target="https://www.salon24.pl/u/koniecsystemu/374265,ratzinger-i-hanba-epoki" TargetMode="External"/><Relationship Id="rId10" Type="http://schemas.openxmlformats.org/officeDocument/2006/relationships/hyperlink" Target="https://www.bb.po.gov.pl/images/Prawa/PNZ/KNZ.pdf" TargetMode="External"/><Relationship Id="rId19" Type="http://schemas.openxmlformats.org/officeDocument/2006/relationships/hyperlink" Target="https://przystanekhistoria.pl/pa2/biblioteka-cyfrowa/publikacje/23842,Polityka-panstwa-wobec-Kosciola-rzymskokatolickiego-w-Polsce-w-okresie-internowa.html" TargetMode="External"/><Relationship Id="rId31" Type="http://schemas.openxmlformats.org/officeDocument/2006/relationships/hyperlink" Target="https://isap.sejm.gov.pl/isap.nsf/DocDetails.xsp?id=WDU19530100032" TargetMode="External"/><Relationship Id="rId4" Type="http://schemas.openxmlformats.org/officeDocument/2006/relationships/hyperlink" Target="https://nil.org.pl/uploaded_files/1579514662_01b-orzeszyna.pdf" TargetMode="External"/><Relationship Id="rId9" Type="http://schemas.openxmlformats.org/officeDocument/2006/relationships/hyperlink" Target="https://repozytorium.umk.pl/bitstream/handle/item/1205/Seminare_tom34-10-kacka.pdf?sequence=1" TargetMode="External"/><Relationship Id="rId14" Type="http://schemas.openxmlformats.org/officeDocument/2006/relationships/hyperlink" Target="https://liberte.pl/deklaracja-praw-wirginii/" TargetMode="External"/><Relationship Id="rId22" Type="http://schemas.openxmlformats.org/officeDocument/2006/relationships/hyperlink" Target="https://rebus.us.edu.pl/bitstream/20.500.12128/10212/1/Gwozdz_Wspoludzial_wiernych_katolikow_i_protestantow.pdf" TargetMode="External"/><Relationship Id="rId27" Type="http://schemas.openxmlformats.org/officeDocument/2006/relationships/hyperlink" Target="https://isap.sejm.gov.pl/isap.nsf/DocDetails.xsp?id=WDU19490450335" TargetMode="External"/><Relationship Id="rId30" Type="http://schemas.openxmlformats.org/officeDocument/2006/relationships/hyperlink" Target="https://isap.sejm.gov.pl/isap.nsf/download.xsp/WMP19500780905/O/M19500905.pdf" TargetMode="External"/><Relationship Id="rId35" Type="http://schemas.openxmlformats.org/officeDocument/2006/relationships/hyperlink" Target="https://www.unesco.pl/fileadmin/user_upload/pdf/Konwencja_o_zwalczaniu_dyskryminacji_w__oswiacie.pdf" TargetMode="External"/><Relationship Id="rId8" Type="http://schemas.openxmlformats.org/officeDocument/2006/relationships/hyperlink" Target="https://liberte.pl/deklaracja-praw-wirginii" TargetMode="External"/><Relationship Id="rId3" Type="http://schemas.openxmlformats.org/officeDocument/2006/relationships/hyperlink" Target="https://journals.umcs.pl/g/article/view/11031/8616" TargetMode="External"/><Relationship Id="rId12" Type="http://schemas.openxmlformats.org/officeDocument/2006/relationships/hyperlink" Target="https://www.unesco.pl/fileadmin/user_upload/pdf/Konwencja_o_zwalczaniu_dyskryminacji_w__oswiacie.pdf" TargetMode="External"/><Relationship Id="rId17" Type="http://schemas.openxmlformats.org/officeDocument/2006/relationships/hyperlink" Target="http://libr.sejm.gov.pl/tek01/txt/kpol/1935.html" TargetMode="External"/><Relationship Id="rId25" Type="http://schemas.openxmlformats.org/officeDocument/2006/relationships/hyperlink" Target="https://rebus.us.edu.pl/bitstream/20.500.12128/19786/1/Szczygiel_Kwestia_ochrony_wolnosci.pdf" TargetMode="External"/><Relationship Id="rId33" Type="http://schemas.openxmlformats.org/officeDocument/2006/relationships/hyperlink" Target="https://docplayer.pl/176441-Akt-koncowy-konferencji-bezpieczenstwa-i-wspolpracy-w-europie-obwe.html" TargetMode="External"/><Relationship Id="rId38" Type="http://schemas.openxmlformats.org/officeDocument/2006/relationships/hyperlink" Target="https://www.vatican.va/content/paul-vi/en/apost_letters/documents/hf_p-vi_apl_19710514_octogesima-advenien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85B6-59DF-4D11-BBED-4C8AD044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21</Pages>
  <Words>6570</Words>
  <Characters>39423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Blanka Więcławska</cp:lastModifiedBy>
  <cp:revision>8</cp:revision>
  <cp:lastPrinted>2023-02-20T10:18:00Z</cp:lastPrinted>
  <dcterms:created xsi:type="dcterms:W3CDTF">2023-02-28T14:14:00Z</dcterms:created>
  <dcterms:modified xsi:type="dcterms:W3CDTF">2023-03-01T03:40:00Z</dcterms:modified>
</cp:coreProperties>
</file>